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1E979" w14:textId="4CBADE08" w:rsidR="00252539" w:rsidRPr="00820A50" w:rsidRDefault="00820A50" w:rsidP="00820A50">
      <w:pPr>
        <w:spacing w:after="0"/>
        <w:rPr>
          <w:b/>
          <w:bCs/>
          <w:sz w:val="24"/>
          <w:szCs w:val="24"/>
        </w:rPr>
      </w:pPr>
      <w:r w:rsidRPr="00820A50">
        <w:rPr>
          <w:b/>
          <w:bCs/>
          <w:sz w:val="24"/>
          <w:szCs w:val="24"/>
        </w:rPr>
        <w:t>Ethics and Scrutiny Board Meeting Report &amp; Action Tracker – November 2025</w:t>
      </w:r>
    </w:p>
    <w:p w14:paraId="75E7DA77" w14:textId="77777777" w:rsidR="00820A50" w:rsidRDefault="00820A50" w:rsidP="00820A50">
      <w:pPr>
        <w:spacing w:after="0"/>
        <w:rPr>
          <w:b/>
          <w:bCs/>
          <w:sz w:val="24"/>
          <w:szCs w:val="24"/>
        </w:rPr>
      </w:pPr>
    </w:p>
    <w:p w14:paraId="152676C6" w14:textId="77777777" w:rsidR="00820A50" w:rsidRPr="00820A50" w:rsidRDefault="00820A50" w:rsidP="00820A50">
      <w:pPr>
        <w:spacing w:after="0"/>
        <w:rPr>
          <w:b/>
          <w:bCs/>
          <w:sz w:val="24"/>
          <w:szCs w:val="24"/>
        </w:rPr>
      </w:pPr>
    </w:p>
    <w:p w14:paraId="5C36F4B8" w14:textId="50B95776" w:rsidR="00820A50" w:rsidRDefault="00820A50" w:rsidP="00820A50">
      <w:pPr>
        <w:spacing w:after="0"/>
        <w:rPr>
          <w:b/>
          <w:bCs/>
          <w:sz w:val="24"/>
          <w:szCs w:val="24"/>
        </w:rPr>
      </w:pPr>
      <w:r w:rsidRPr="00820A50">
        <w:rPr>
          <w:b/>
          <w:bCs/>
          <w:sz w:val="24"/>
          <w:szCs w:val="24"/>
        </w:rPr>
        <w:t>Aims of the Board</w:t>
      </w:r>
    </w:p>
    <w:p w14:paraId="60D15791" w14:textId="77777777" w:rsidR="00820A50" w:rsidRPr="00820A50" w:rsidRDefault="00820A50" w:rsidP="00820A50">
      <w:pPr>
        <w:spacing w:after="0"/>
        <w:rPr>
          <w:b/>
          <w:bCs/>
          <w:sz w:val="24"/>
          <w:szCs w:val="24"/>
        </w:rPr>
      </w:pPr>
    </w:p>
    <w:p w14:paraId="1CFF4327" w14:textId="77777777" w:rsidR="00820A50" w:rsidRPr="00820A50" w:rsidRDefault="00820A50" w:rsidP="00820A50">
      <w:pPr>
        <w:spacing w:after="0" w:line="240" w:lineRule="auto"/>
        <w:rPr>
          <w:rFonts w:ascii="Aptos" w:eastAsia="Times New Roman" w:hAnsi="Aptos" w:cs="Arial"/>
          <w:sz w:val="24"/>
          <w:szCs w:val="24"/>
        </w:rPr>
      </w:pPr>
      <w:r w:rsidRPr="00820A50">
        <w:rPr>
          <w:rFonts w:ascii="Aptos" w:eastAsia="Times New Roman" w:hAnsi="Aptos" w:cs="Arial"/>
          <w:sz w:val="24"/>
          <w:szCs w:val="24"/>
        </w:rPr>
        <w:t>To objectively explore ethical issues and matters raised by scrutiny group volunteers, in depth and from multiple perspectives, with the purpose of generating genuine and positive organisational learning, informing Police and the Office of the Police and Crime Commissioner (OPCC) of policy and priorities, challenging things when appropriate, as well as creating openness and transparency.</w:t>
      </w:r>
    </w:p>
    <w:p w14:paraId="07BFF8C0" w14:textId="77777777" w:rsidR="00820A50" w:rsidRPr="00820A50" w:rsidRDefault="00820A50" w:rsidP="00820A50">
      <w:pPr>
        <w:spacing w:after="0" w:line="240" w:lineRule="auto"/>
        <w:rPr>
          <w:rFonts w:ascii="Aptos" w:eastAsia="Times New Roman" w:hAnsi="Aptos" w:cs="Arial"/>
          <w:sz w:val="24"/>
          <w:szCs w:val="24"/>
        </w:rPr>
      </w:pPr>
    </w:p>
    <w:p w14:paraId="6AB69F76" w14:textId="77777777" w:rsidR="00820A50" w:rsidRPr="00820A50" w:rsidRDefault="00820A50" w:rsidP="00820A50">
      <w:pPr>
        <w:spacing w:after="0" w:line="240" w:lineRule="auto"/>
        <w:rPr>
          <w:rFonts w:ascii="Aptos" w:eastAsia="Times New Roman" w:hAnsi="Aptos" w:cs="Arial"/>
          <w:sz w:val="24"/>
          <w:szCs w:val="24"/>
        </w:rPr>
      </w:pPr>
      <w:r w:rsidRPr="00820A50">
        <w:rPr>
          <w:rFonts w:ascii="Aptos" w:eastAsia="Times New Roman" w:hAnsi="Aptos" w:cs="Arial"/>
          <w:sz w:val="24"/>
          <w:szCs w:val="24"/>
        </w:rPr>
        <w:t xml:space="preserve">The Board is the overall ‘home’ for OPCC scrutiny activity.  Findings from the OPCC scrutiny groups and reports are considered at this Board and provide a central focus for the OPCC.  </w:t>
      </w:r>
    </w:p>
    <w:p w14:paraId="7B10572B" w14:textId="77777777" w:rsidR="00820A50" w:rsidRPr="00820A50" w:rsidRDefault="00820A50" w:rsidP="00820A50">
      <w:pPr>
        <w:spacing w:after="0" w:line="240" w:lineRule="auto"/>
        <w:rPr>
          <w:rFonts w:ascii="Aptos" w:eastAsia="Times New Roman" w:hAnsi="Aptos" w:cs="Arial"/>
          <w:sz w:val="24"/>
          <w:szCs w:val="24"/>
        </w:rPr>
      </w:pPr>
    </w:p>
    <w:p w14:paraId="3CECFCA4" w14:textId="77777777" w:rsidR="00820A50" w:rsidRPr="00820A50" w:rsidRDefault="00820A50" w:rsidP="00820A50">
      <w:pPr>
        <w:spacing w:after="0" w:line="240" w:lineRule="auto"/>
        <w:rPr>
          <w:rFonts w:ascii="Aptos" w:eastAsia="Times New Roman" w:hAnsi="Aptos" w:cs="Arial"/>
          <w:sz w:val="24"/>
          <w:szCs w:val="24"/>
        </w:rPr>
      </w:pPr>
      <w:r w:rsidRPr="00820A50">
        <w:rPr>
          <w:rFonts w:ascii="Aptos" w:eastAsia="Times New Roman" w:hAnsi="Aptos" w:cs="Arial"/>
          <w:sz w:val="24"/>
          <w:szCs w:val="24"/>
        </w:rPr>
        <w:t xml:space="preserve">The Board is responsible for the delivery of the OPCC scrutiny work programme and decide how certain scrutiny activities should be completed, setting the terms of reference for any specific pieces of work.  </w:t>
      </w:r>
    </w:p>
    <w:p w14:paraId="6AA4E855" w14:textId="77777777" w:rsidR="00820A50" w:rsidRPr="00820A50" w:rsidRDefault="00820A50" w:rsidP="00820A50">
      <w:pPr>
        <w:spacing w:after="0" w:line="240" w:lineRule="auto"/>
        <w:rPr>
          <w:rFonts w:ascii="Aptos" w:eastAsia="Times New Roman" w:hAnsi="Aptos" w:cs="Arial"/>
          <w:sz w:val="24"/>
          <w:szCs w:val="24"/>
        </w:rPr>
      </w:pPr>
    </w:p>
    <w:p w14:paraId="5371ED07" w14:textId="77777777" w:rsidR="00820A50" w:rsidRPr="00820A50" w:rsidRDefault="00820A50" w:rsidP="00820A50">
      <w:pPr>
        <w:spacing w:after="0" w:line="240" w:lineRule="auto"/>
        <w:rPr>
          <w:rFonts w:ascii="Aptos" w:eastAsia="Times New Roman" w:hAnsi="Aptos" w:cs="Arial"/>
          <w:sz w:val="24"/>
          <w:szCs w:val="24"/>
        </w:rPr>
      </w:pPr>
      <w:r w:rsidRPr="00820A50">
        <w:rPr>
          <w:rFonts w:ascii="Aptos" w:eastAsia="Times New Roman" w:hAnsi="Aptos" w:cs="Arial"/>
          <w:sz w:val="24"/>
          <w:szCs w:val="24"/>
        </w:rPr>
        <w:t xml:space="preserve">Their role is to provide specialist and independent scrutiny findings, as well as providing recommendations directly to the Police and Crime Commissioner (PCC), and the force itself. </w:t>
      </w:r>
    </w:p>
    <w:p w14:paraId="20FB3CB7" w14:textId="77777777" w:rsidR="00820A50" w:rsidRPr="00820A50" w:rsidRDefault="00820A50" w:rsidP="00820A50">
      <w:pPr>
        <w:spacing w:after="0"/>
        <w:rPr>
          <w:sz w:val="24"/>
          <w:szCs w:val="24"/>
        </w:rPr>
      </w:pPr>
    </w:p>
    <w:p w14:paraId="4750034D" w14:textId="43FA3918" w:rsidR="00820A50" w:rsidRDefault="00820A50" w:rsidP="00820A50">
      <w:pPr>
        <w:spacing w:after="0"/>
        <w:rPr>
          <w:b/>
          <w:bCs/>
          <w:sz w:val="24"/>
          <w:szCs w:val="24"/>
        </w:rPr>
      </w:pPr>
      <w:r w:rsidRPr="00820A50">
        <w:rPr>
          <w:b/>
          <w:bCs/>
          <w:sz w:val="24"/>
          <w:szCs w:val="24"/>
        </w:rPr>
        <w:t>Introductions</w:t>
      </w:r>
    </w:p>
    <w:p w14:paraId="11D21E60" w14:textId="56B20BF6" w:rsidR="00820A50" w:rsidRPr="00820A50" w:rsidRDefault="00820A50" w:rsidP="00820A50">
      <w:pPr>
        <w:pStyle w:val="ListParagraph"/>
        <w:numPr>
          <w:ilvl w:val="0"/>
          <w:numId w:val="1"/>
        </w:numPr>
        <w:spacing w:after="0"/>
        <w:rPr>
          <w:sz w:val="24"/>
          <w:szCs w:val="24"/>
        </w:rPr>
      </w:pPr>
      <w:r w:rsidRPr="00820A50">
        <w:rPr>
          <w:sz w:val="24"/>
          <w:szCs w:val="24"/>
        </w:rPr>
        <w:t>5 Panel Chairs</w:t>
      </w:r>
    </w:p>
    <w:p w14:paraId="23968279" w14:textId="79860227" w:rsidR="00820A50" w:rsidRPr="00820A50" w:rsidRDefault="00820A50" w:rsidP="00820A50">
      <w:pPr>
        <w:pStyle w:val="ListParagraph"/>
        <w:numPr>
          <w:ilvl w:val="0"/>
          <w:numId w:val="1"/>
        </w:numPr>
        <w:spacing w:after="0"/>
        <w:rPr>
          <w:sz w:val="24"/>
          <w:szCs w:val="24"/>
        </w:rPr>
      </w:pPr>
      <w:r w:rsidRPr="00820A50">
        <w:rPr>
          <w:sz w:val="24"/>
          <w:szCs w:val="24"/>
        </w:rPr>
        <w:t>1 member of Humberside Police</w:t>
      </w:r>
    </w:p>
    <w:p w14:paraId="13F760CC" w14:textId="3FC2214A" w:rsidR="00820A50" w:rsidRPr="00820A50" w:rsidRDefault="00820A50" w:rsidP="00820A50">
      <w:pPr>
        <w:pStyle w:val="ListParagraph"/>
        <w:numPr>
          <w:ilvl w:val="0"/>
          <w:numId w:val="1"/>
        </w:numPr>
        <w:spacing w:after="0"/>
        <w:rPr>
          <w:sz w:val="24"/>
          <w:szCs w:val="24"/>
        </w:rPr>
      </w:pPr>
      <w:r w:rsidRPr="00820A50">
        <w:rPr>
          <w:sz w:val="24"/>
          <w:szCs w:val="24"/>
        </w:rPr>
        <w:t>4 members of the OPCC</w:t>
      </w:r>
    </w:p>
    <w:p w14:paraId="012F84CA" w14:textId="77777777" w:rsidR="00820A50" w:rsidRPr="00820A50" w:rsidRDefault="00820A50" w:rsidP="00820A50">
      <w:pPr>
        <w:pStyle w:val="ListParagraph"/>
        <w:spacing w:after="0"/>
        <w:rPr>
          <w:b/>
          <w:bCs/>
          <w:sz w:val="24"/>
          <w:szCs w:val="24"/>
        </w:rPr>
      </w:pPr>
    </w:p>
    <w:p w14:paraId="0C99B6CA" w14:textId="77777777" w:rsidR="002872F7" w:rsidRDefault="00820A50" w:rsidP="002872F7">
      <w:pPr>
        <w:spacing w:after="0"/>
        <w:rPr>
          <w:b/>
          <w:bCs/>
          <w:sz w:val="24"/>
          <w:szCs w:val="24"/>
        </w:rPr>
      </w:pPr>
      <w:r w:rsidRPr="00820A50">
        <w:rPr>
          <w:b/>
          <w:bCs/>
          <w:sz w:val="24"/>
          <w:szCs w:val="24"/>
        </w:rPr>
        <w:t>Actions from Previous Meeting</w:t>
      </w:r>
    </w:p>
    <w:p w14:paraId="2788DC94" w14:textId="31C2789C" w:rsidR="002872F7" w:rsidRPr="002872F7" w:rsidRDefault="002872F7" w:rsidP="002872F7">
      <w:pPr>
        <w:spacing w:after="0"/>
        <w:rPr>
          <w:b/>
          <w:bCs/>
          <w:sz w:val="24"/>
          <w:szCs w:val="24"/>
        </w:rPr>
      </w:pPr>
      <w:r w:rsidRPr="002872F7">
        <w:rPr>
          <w:sz w:val="24"/>
          <w:szCs w:val="24"/>
        </w:rPr>
        <w:t>Panel discuss Victim Support referrals, caring responsibilities in custody and Body Worn Video (BWV) in custody. ACC Mike Walker will follow these up and report back to the panel. The panel decided the action relating to the August review can be closed.</w:t>
      </w:r>
    </w:p>
    <w:p w14:paraId="79B975D6" w14:textId="77777777" w:rsidR="00820A50" w:rsidRPr="00820A50" w:rsidRDefault="00820A50" w:rsidP="00820A50">
      <w:pPr>
        <w:spacing w:after="0"/>
        <w:rPr>
          <w:b/>
          <w:bCs/>
          <w:sz w:val="24"/>
          <w:szCs w:val="24"/>
        </w:rPr>
      </w:pPr>
    </w:p>
    <w:p w14:paraId="7D20F668" w14:textId="212E19CF" w:rsidR="00820A50" w:rsidRDefault="00820A50" w:rsidP="00820A50">
      <w:pPr>
        <w:spacing w:after="0"/>
        <w:rPr>
          <w:b/>
          <w:bCs/>
          <w:sz w:val="24"/>
          <w:szCs w:val="24"/>
        </w:rPr>
      </w:pPr>
      <w:r w:rsidRPr="00820A50">
        <w:rPr>
          <w:b/>
          <w:bCs/>
          <w:sz w:val="24"/>
          <w:szCs w:val="24"/>
        </w:rPr>
        <w:t>Ethical Priorities and Current Affairs</w:t>
      </w:r>
    </w:p>
    <w:p w14:paraId="07FD8130" w14:textId="47A312C6" w:rsidR="002872F7" w:rsidRPr="002872F7" w:rsidRDefault="002872F7" w:rsidP="00820A50">
      <w:pPr>
        <w:spacing w:after="0"/>
        <w:rPr>
          <w:sz w:val="24"/>
          <w:szCs w:val="24"/>
        </w:rPr>
      </w:pPr>
      <w:r>
        <w:rPr>
          <w:sz w:val="24"/>
          <w:szCs w:val="24"/>
        </w:rPr>
        <w:t>Panel discuss the increase in third party reporting and there is a discussion around confidence in policing. ACC Walker clarifies the Force leads for each panel topic.</w:t>
      </w:r>
    </w:p>
    <w:p w14:paraId="75647074" w14:textId="77777777" w:rsidR="00820A50" w:rsidRPr="00820A50" w:rsidRDefault="00820A50" w:rsidP="00820A50">
      <w:pPr>
        <w:spacing w:after="0"/>
        <w:rPr>
          <w:b/>
          <w:bCs/>
          <w:sz w:val="24"/>
          <w:szCs w:val="24"/>
        </w:rPr>
      </w:pPr>
    </w:p>
    <w:p w14:paraId="36665BD8" w14:textId="5061266E" w:rsidR="00820A50" w:rsidRDefault="00820A50" w:rsidP="00820A50">
      <w:pPr>
        <w:spacing w:after="0"/>
        <w:rPr>
          <w:b/>
          <w:bCs/>
          <w:sz w:val="24"/>
          <w:szCs w:val="24"/>
        </w:rPr>
      </w:pPr>
      <w:r w:rsidRPr="00820A50">
        <w:rPr>
          <w:b/>
          <w:bCs/>
          <w:sz w:val="24"/>
          <w:szCs w:val="24"/>
        </w:rPr>
        <w:t>Humberside Police Update</w:t>
      </w:r>
    </w:p>
    <w:p w14:paraId="302AEACE" w14:textId="06C386AB" w:rsidR="00604D90" w:rsidRPr="00364DAF" w:rsidRDefault="00364DAF" w:rsidP="00604D90">
      <w:pPr>
        <w:pStyle w:val="ListParagraph"/>
        <w:numPr>
          <w:ilvl w:val="0"/>
          <w:numId w:val="4"/>
        </w:numPr>
        <w:spacing w:after="0"/>
        <w:rPr>
          <w:sz w:val="24"/>
          <w:szCs w:val="24"/>
        </w:rPr>
      </w:pPr>
      <w:r w:rsidRPr="00364DAF">
        <w:rPr>
          <w:sz w:val="24"/>
          <w:szCs w:val="24"/>
        </w:rPr>
        <w:t>ACC goes through the Humberside Police staff changes.</w:t>
      </w:r>
    </w:p>
    <w:p w14:paraId="6E64230A" w14:textId="3C2FC083" w:rsidR="00364DAF" w:rsidRDefault="00364DAF" w:rsidP="00604D90">
      <w:pPr>
        <w:pStyle w:val="ListParagraph"/>
        <w:numPr>
          <w:ilvl w:val="0"/>
          <w:numId w:val="4"/>
        </w:numPr>
        <w:spacing w:after="0"/>
        <w:rPr>
          <w:sz w:val="24"/>
          <w:szCs w:val="24"/>
        </w:rPr>
      </w:pPr>
      <w:r w:rsidRPr="00364DAF">
        <w:rPr>
          <w:sz w:val="24"/>
          <w:szCs w:val="24"/>
        </w:rPr>
        <w:t>There will be a change to Motorola for Body Worn Video (BWV).</w:t>
      </w:r>
    </w:p>
    <w:p w14:paraId="13A5CDC3" w14:textId="258FE4BB" w:rsidR="00364DAF" w:rsidRDefault="00364DAF" w:rsidP="00604D90">
      <w:pPr>
        <w:pStyle w:val="ListParagraph"/>
        <w:numPr>
          <w:ilvl w:val="0"/>
          <w:numId w:val="4"/>
        </w:numPr>
        <w:spacing w:after="0"/>
        <w:rPr>
          <w:sz w:val="24"/>
          <w:szCs w:val="24"/>
        </w:rPr>
      </w:pPr>
      <w:r>
        <w:rPr>
          <w:sz w:val="24"/>
          <w:szCs w:val="24"/>
        </w:rPr>
        <w:t>Currently waiting for the HMIC debrief.</w:t>
      </w:r>
    </w:p>
    <w:p w14:paraId="5BB6EF47" w14:textId="761E0E67" w:rsidR="00364DAF" w:rsidRDefault="00364DAF" w:rsidP="00604D90">
      <w:pPr>
        <w:pStyle w:val="ListParagraph"/>
        <w:numPr>
          <w:ilvl w:val="0"/>
          <w:numId w:val="4"/>
        </w:numPr>
        <w:spacing w:after="0"/>
        <w:rPr>
          <w:sz w:val="24"/>
          <w:szCs w:val="24"/>
        </w:rPr>
      </w:pPr>
      <w:r>
        <w:rPr>
          <w:sz w:val="24"/>
          <w:szCs w:val="24"/>
        </w:rPr>
        <w:t xml:space="preserve">Suggestion that there could be a National Child Protection </w:t>
      </w:r>
      <w:r w:rsidR="00E50DB0">
        <w:rPr>
          <w:sz w:val="24"/>
          <w:szCs w:val="24"/>
        </w:rPr>
        <w:t>Inspection</w:t>
      </w:r>
      <w:r>
        <w:rPr>
          <w:sz w:val="24"/>
          <w:szCs w:val="24"/>
        </w:rPr>
        <w:t>.</w:t>
      </w:r>
    </w:p>
    <w:p w14:paraId="21047C3B" w14:textId="67135E1D" w:rsidR="00364DAF" w:rsidRDefault="00364DAF" w:rsidP="00604D90">
      <w:pPr>
        <w:pStyle w:val="ListParagraph"/>
        <w:numPr>
          <w:ilvl w:val="0"/>
          <w:numId w:val="4"/>
        </w:numPr>
        <w:spacing w:after="0"/>
        <w:rPr>
          <w:sz w:val="24"/>
          <w:szCs w:val="24"/>
        </w:rPr>
      </w:pPr>
      <w:r>
        <w:rPr>
          <w:sz w:val="24"/>
          <w:szCs w:val="24"/>
        </w:rPr>
        <w:t>Request of annual performance statistics</w:t>
      </w:r>
      <w:r w:rsidR="00E50DB0">
        <w:rPr>
          <w:sz w:val="24"/>
          <w:szCs w:val="24"/>
        </w:rPr>
        <w:t xml:space="preserve"> and potential input from the Professional Standards Department (PSD).</w:t>
      </w:r>
    </w:p>
    <w:p w14:paraId="0C8BBA64" w14:textId="6D0E5C58" w:rsidR="00E50DB0" w:rsidRPr="00364DAF" w:rsidRDefault="00E50DB0" w:rsidP="00604D90">
      <w:pPr>
        <w:pStyle w:val="ListParagraph"/>
        <w:numPr>
          <w:ilvl w:val="0"/>
          <w:numId w:val="4"/>
        </w:numPr>
        <w:spacing w:after="0"/>
        <w:rPr>
          <w:sz w:val="24"/>
          <w:szCs w:val="24"/>
        </w:rPr>
      </w:pPr>
      <w:r>
        <w:rPr>
          <w:sz w:val="24"/>
          <w:szCs w:val="24"/>
        </w:rPr>
        <w:lastRenderedPageBreak/>
        <w:t xml:space="preserve">One member queries the police perception of the definition of a woman in relation to VAWG, some clarification needed around this. </w:t>
      </w:r>
    </w:p>
    <w:p w14:paraId="56E5D233" w14:textId="77777777" w:rsidR="00820A50" w:rsidRPr="00820A50" w:rsidRDefault="00820A50" w:rsidP="00820A50">
      <w:pPr>
        <w:spacing w:after="0"/>
        <w:rPr>
          <w:b/>
          <w:bCs/>
          <w:sz w:val="24"/>
          <w:szCs w:val="24"/>
        </w:rPr>
      </w:pPr>
    </w:p>
    <w:p w14:paraId="7F86D87A" w14:textId="3BE0929A" w:rsidR="00820A50" w:rsidRDefault="00820A50" w:rsidP="00820A50">
      <w:pPr>
        <w:spacing w:after="0"/>
        <w:rPr>
          <w:b/>
          <w:bCs/>
          <w:sz w:val="24"/>
          <w:szCs w:val="24"/>
        </w:rPr>
      </w:pPr>
      <w:r w:rsidRPr="00820A50">
        <w:rPr>
          <w:b/>
          <w:bCs/>
          <w:sz w:val="24"/>
          <w:szCs w:val="24"/>
        </w:rPr>
        <w:t>OPCC Update</w:t>
      </w:r>
    </w:p>
    <w:p w14:paraId="004E6964" w14:textId="74F4FD6D" w:rsidR="00604D90" w:rsidRPr="00604D90" w:rsidRDefault="00604D90" w:rsidP="00820A50">
      <w:pPr>
        <w:spacing w:after="0"/>
        <w:rPr>
          <w:sz w:val="24"/>
          <w:szCs w:val="24"/>
        </w:rPr>
      </w:pPr>
      <w:r w:rsidRPr="00604D90">
        <w:rPr>
          <w:sz w:val="24"/>
          <w:szCs w:val="24"/>
        </w:rPr>
        <w:t>Survey results are explained, they are generally positive and action to share these with the panel.</w:t>
      </w:r>
    </w:p>
    <w:p w14:paraId="41A13DBE" w14:textId="77777777" w:rsidR="00604D90" w:rsidRDefault="00604D90" w:rsidP="00820A50">
      <w:pPr>
        <w:spacing w:after="0"/>
        <w:rPr>
          <w:b/>
          <w:bCs/>
          <w:sz w:val="24"/>
          <w:szCs w:val="24"/>
        </w:rPr>
      </w:pPr>
    </w:p>
    <w:p w14:paraId="0B03DA5E" w14:textId="6E125627" w:rsidR="00820A50" w:rsidRDefault="00820A50" w:rsidP="00820A50">
      <w:pPr>
        <w:spacing w:after="0"/>
        <w:rPr>
          <w:b/>
          <w:bCs/>
          <w:sz w:val="24"/>
          <w:szCs w:val="24"/>
        </w:rPr>
      </w:pPr>
      <w:r w:rsidRPr="00820A50">
        <w:rPr>
          <w:b/>
          <w:bCs/>
          <w:sz w:val="24"/>
          <w:szCs w:val="24"/>
        </w:rPr>
        <w:t xml:space="preserve">Independent Custody Scrutiny Panel </w:t>
      </w:r>
      <w:r w:rsidR="00D41BC3">
        <w:rPr>
          <w:b/>
          <w:bCs/>
          <w:sz w:val="24"/>
          <w:szCs w:val="24"/>
        </w:rPr>
        <w:t xml:space="preserve">&amp; ICV Scheme </w:t>
      </w:r>
      <w:r w:rsidRPr="00820A50">
        <w:rPr>
          <w:b/>
          <w:bCs/>
          <w:sz w:val="24"/>
          <w:szCs w:val="24"/>
        </w:rPr>
        <w:t>Update</w:t>
      </w:r>
    </w:p>
    <w:p w14:paraId="3AB0F07D" w14:textId="79067C82" w:rsidR="00E50DB0" w:rsidRDefault="00E50DB0" w:rsidP="00820A50">
      <w:pPr>
        <w:spacing w:after="0"/>
        <w:rPr>
          <w:sz w:val="24"/>
          <w:szCs w:val="24"/>
        </w:rPr>
      </w:pPr>
      <w:r w:rsidRPr="00E50DB0">
        <w:rPr>
          <w:sz w:val="24"/>
          <w:szCs w:val="24"/>
        </w:rPr>
        <w:t>Focus has been on mental health within the custody setting. Some new guidance from ICVA, this could be used as blueprint but there is thought this oversteps the mark for ICVs.</w:t>
      </w:r>
      <w:r>
        <w:rPr>
          <w:sz w:val="24"/>
          <w:szCs w:val="24"/>
        </w:rPr>
        <w:t xml:space="preserve"> Generally, the bar is low but is being hit.</w:t>
      </w:r>
    </w:p>
    <w:p w14:paraId="64BBBF38" w14:textId="3D48A3D2" w:rsidR="008D4B95" w:rsidRPr="00E50DB0" w:rsidRDefault="008D4B95" w:rsidP="00820A50">
      <w:pPr>
        <w:spacing w:after="0"/>
        <w:rPr>
          <w:sz w:val="24"/>
          <w:szCs w:val="24"/>
        </w:rPr>
      </w:pPr>
      <w:r>
        <w:rPr>
          <w:sz w:val="24"/>
          <w:szCs w:val="24"/>
        </w:rPr>
        <w:t xml:space="preserve">ACC Walker confirmed that caring responsibility question is now mandatory, this was confirmed by Hate Criem chair who </w:t>
      </w:r>
      <w:proofErr w:type="gramStart"/>
      <w:r>
        <w:rPr>
          <w:sz w:val="24"/>
          <w:szCs w:val="24"/>
        </w:rPr>
        <w:t>is also a regular ICV</w:t>
      </w:r>
      <w:proofErr w:type="gramEnd"/>
      <w:r>
        <w:rPr>
          <w:sz w:val="24"/>
          <w:szCs w:val="24"/>
        </w:rPr>
        <w:t>.</w:t>
      </w:r>
    </w:p>
    <w:p w14:paraId="48F2A000" w14:textId="77777777" w:rsidR="00820A50" w:rsidRPr="00820A50" w:rsidRDefault="00820A50" w:rsidP="00820A50">
      <w:pPr>
        <w:spacing w:after="0"/>
        <w:rPr>
          <w:b/>
          <w:bCs/>
          <w:sz w:val="24"/>
          <w:szCs w:val="24"/>
        </w:rPr>
      </w:pPr>
    </w:p>
    <w:p w14:paraId="5D6E218E" w14:textId="189FBD30" w:rsidR="002872F7" w:rsidRDefault="00820A50" w:rsidP="00820A50">
      <w:pPr>
        <w:spacing w:after="0"/>
        <w:rPr>
          <w:b/>
          <w:bCs/>
          <w:sz w:val="24"/>
          <w:szCs w:val="24"/>
        </w:rPr>
      </w:pPr>
      <w:r w:rsidRPr="00820A50">
        <w:rPr>
          <w:b/>
          <w:bCs/>
          <w:sz w:val="24"/>
          <w:szCs w:val="24"/>
        </w:rPr>
        <w:t>Out of Court Disposal Panel Updat</w:t>
      </w:r>
      <w:r w:rsidR="002872F7">
        <w:rPr>
          <w:b/>
          <w:bCs/>
          <w:sz w:val="24"/>
          <w:szCs w:val="24"/>
        </w:rPr>
        <w:t>e</w:t>
      </w:r>
    </w:p>
    <w:p w14:paraId="5105E37B" w14:textId="608C596B" w:rsidR="00E50DB0" w:rsidRPr="00E50DB0" w:rsidRDefault="00E50DB0" w:rsidP="00820A50">
      <w:pPr>
        <w:spacing w:after="0"/>
        <w:rPr>
          <w:sz w:val="24"/>
          <w:szCs w:val="24"/>
        </w:rPr>
      </w:pPr>
      <w:r>
        <w:rPr>
          <w:sz w:val="24"/>
          <w:szCs w:val="24"/>
        </w:rPr>
        <w:t>Looking at businesses being treated as victims, often not, as well as a lack of support from all services for those who are neurodiverse. Some samples didn’t contain enough information, these will be taken to the next meeting. Overall, it is recognised that the police are in a difficult position, rationale needs to be tightened.</w:t>
      </w:r>
    </w:p>
    <w:p w14:paraId="1B6BB8C6" w14:textId="77777777" w:rsidR="00820A50" w:rsidRPr="00820A50" w:rsidRDefault="00820A50" w:rsidP="00820A50">
      <w:pPr>
        <w:spacing w:after="0"/>
        <w:rPr>
          <w:b/>
          <w:bCs/>
          <w:sz w:val="24"/>
          <w:szCs w:val="24"/>
        </w:rPr>
      </w:pPr>
    </w:p>
    <w:p w14:paraId="4D85B27B" w14:textId="6E249048" w:rsidR="00820A50" w:rsidRDefault="00820A50" w:rsidP="00820A50">
      <w:pPr>
        <w:spacing w:after="0"/>
        <w:rPr>
          <w:b/>
          <w:bCs/>
          <w:sz w:val="24"/>
          <w:szCs w:val="24"/>
        </w:rPr>
      </w:pPr>
      <w:r w:rsidRPr="00820A50">
        <w:rPr>
          <w:b/>
          <w:bCs/>
          <w:sz w:val="24"/>
          <w:szCs w:val="24"/>
        </w:rPr>
        <w:t>Domestic Abuse &amp; Violence Against Women and Girls Scrutiny Panel Update</w:t>
      </w:r>
    </w:p>
    <w:p w14:paraId="2B6FC49B" w14:textId="33B1F4C1" w:rsidR="002872F7" w:rsidRPr="002872F7" w:rsidRDefault="00604D90" w:rsidP="00820A50">
      <w:pPr>
        <w:spacing w:after="0"/>
        <w:rPr>
          <w:sz w:val="24"/>
          <w:szCs w:val="24"/>
        </w:rPr>
      </w:pPr>
      <w:r>
        <w:rPr>
          <w:sz w:val="24"/>
          <w:szCs w:val="24"/>
        </w:rPr>
        <w:t>Make the hot topics section a discussion point for the panel. Panel found it interesting to see the two samples. Discussion around location, action to promote car sharing and look at room availability for other panels.</w:t>
      </w:r>
    </w:p>
    <w:p w14:paraId="1D5C1C0C" w14:textId="77777777" w:rsidR="00820A50" w:rsidRPr="00820A50" w:rsidRDefault="00820A50" w:rsidP="00820A50">
      <w:pPr>
        <w:spacing w:after="0"/>
        <w:rPr>
          <w:b/>
          <w:bCs/>
          <w:sz w:val="24"/>
          <w:szCs w:val="24"/>
        </w:rPr>
      </w:pPr>
    </w:p>
    <w:p w14:paraId="04F66E05" w14:textId="77777777" w:rsidR="00820A50" w:rsidRDefault="00820A50" w:rsidP="00820A50">
      <w:pPr>
        <w:spacing w:after="0"/>
        <w:rPr>
          <w:b/>
          <w:bCs/>
          <w:sz w:val="24"/>
          <w:szCs w:val="24"/>
        </w:rPr>
      </w:pPr>
      <w:r w:rsidRPr="00820A50">
        <w:rPr>
          <w:b/>
          <w:bCs/>
          <w:sz w:val="24"/>
          <w:szCs w:val="24"/>
        </w:rPr>
        <w:t>Joint Independent Audit Committee Update</w:t>
      </w:r>
    </w:p>
    <w:p w14:paraId="2B7D984B" w14:textId="003EE9FE" w:rsidR="00820A50" w:rsidRDefault="00604D90" w:rsidP="00820A50">
      <w:pPr>
        <w:spacing w:after="0"/>
        <w:rPr>
          <w:b/>
          <w:bCs/>
          <w:sz w:val="24"/>
          <w:szCs w:val="24"/>
        </w:rPr>
      </w:pPr>
      <w:r w:rsidRPr="00604D90">
        <w:rPr>
          <w:sz w:val="24"/>
          <w:szCs w:val="24"/>
        </w:rPr>
        <w:t>Clarification is given around the NPCC role wording.</w:t>
      </w:r>
      <w:r>
        <w:rPr>
          <w:b/>
          <w:bCs/>
          <w:sz w:val="24"/>
          <w:szCs w:val="24"/>
        </w:rPr>
        <w:t xml:space="preserve"> </w:t>
      </w:r>
      <w:r w:rsidRPr="00604D90">
        <w:rPr>
          <w:sz w:val="24"/>
          <w:szCs w:val="24"/>
        </w:rPr>
        <w:t>Chair goes through what the panel have looked at in the last quarter – terms of reference, risk registers (how these are devised and risk identified), as well as reviewing the draft of corporate governance.</w:t>
      </w:r>
    </w:p>
    <w:p w14:paraId="0A02F054" w14:textId="77777777" w:rsidR="00820A50" w:rsidRPr="00820A50" w:rsidRDefault="00820A50" w:rsidP="00820A50">
      <w:pPr>
        <w:spacing w:after="0"/>
        <w:rPr>
          <w:b/>
          <w:bCs/>
          <w:sz w:val="24"/>
          <w:szCs w:val="24"/>
        </w:rPr>
      </w:pPr>
    </w:p>
    <w:p w14:paraId="02BF34BC" w14:textId="24D3783C" w:rsidR="00820A50" w:rsidRDefault="00820A50" w:rsidP="00820A50">
      <w:pPr>
        <w:spacing w:after="0"/>
        <w:rPr>
          <w:b/>
          <w:bCs/>
          <w:sz w:val="24"/>
          <w:szCs w:val="24"/>
        </w:rPr>
      </w:pPr>
      <w:r w:rsidRPr="00820A50">
        <w:rPr>
          <w:b/>
          <w:bCs/>
          <w:sz w:val="24"/>
          <w:szCs w:val="24"/>
        </w:rPr>
        <w:t xml:space="preserve">Date of Next Meeting </w:t>
      </w:r>
    </w:p>
    <w:p w14:paraId="4CF73B72" w14:textId="030A670A" w:rsidR="00820A50" w:rsidRPr="00820A50" w:rsidRDefault="00820A50" w:rsidP="00820A50">
      <w:pPr>
        <w:spacing w:after="0"/>
        <w:rPr>
          <w:sz w:val="24"/>
          <w:szCs w:val="24"/>
        </w:rPr>
      </w:pPr>
      <w:r w:rsidRPr="00820A50">
        <w:rPr>
          <w:sz w:val="24"/>
          <w:szCs w:val="24"/>
        </w:rPr>
        <w:t>Scheduled for February 2026</w:t>
      </w:r>
    </w:p>
    <w:sectPr w:rsidR="00820A50" w:rsidRPr="00820A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5DC8"/>
    <w:multiLevelType w:val="hybridMultilevel"/>
    <w:tmpl w:val="F69EA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FC0AE9"/>
    <w:multiLevelType w:val="hybridMultilevel"/>
    <w:tmpl w:val="7DE2E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8F7669"/>
    <w:multiLevelType w:val="hybridMultilevel"/>
    <w:tmpl w:val="E7A08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F23C59"/>
    <w:multiLevelType w:val="hybridMultilevel"/>
    <w:tmpl w:val="BCF48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C12C01"/>
    <w:multiLevelType w:val="hybridMultilevel"/>
    <w:tmpl w:val="D0F2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7034308">
    <w:abstractNumId w:val="4"/>
  </w:num>
  <w:num w:numId="2" w16cid:durableId="688222007">
    <w:abstractNumId w:val="2"/>
  </w:num>
  <w:num w:numId="3" w16cid:durableId="1685088305">
    <w:abstractNumId w:val="3"/>
  </w:num>
  <w:num w:numId="4" w16cid:durableId="2128423828">
    <w:abstractNumId w:val="1"/>
  </w:num>
  <w:num w:numId="5" w16cid:durableId="2032953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50"/>
    <w:rsid w:val="001E6F78"/>
    <w:rsid w:val="00252539"/>
    <w:rsid w:val="002872F7"/>
    <w:rsid w:val="00317BF9"/>
    <w:rsid w:val="00364DAF"/>
    <w:rsid w:val="00604D90"/>
    <w:rsid w:val="00715D86"/>
    <w:rsid w:val="007968E3"/>
    <w:rsid w:val="00820A50"/>
    <w:rsid w:val="008D4B95"/>
    <w:rsid w:val="00930D83"/>
    <w:rsid w:val="00A337C1"/>
    <w:rsid w:val="00B810B4"/>
    <w:rsid w:val="00BD549D"/>
    <w:rsid w:val="00D41BC3"/>
    <w:rsid w:val="00D65A4E"/>
    <w:rsid w:val="00E27CC4"/>
    <w:rsid w:val="00E50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7FBB3"/>
  <w15:chartTrackingRefBased/>
  <w15:docId w15:val="{FBC7EB5A-93AA-4074-99F3-F3871606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A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A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A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A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A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A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A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A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A50"/>
    <w:rPr>
      <w:rFonts w:eastAsiaTheme="majorEastAsia" w:cstheme="majorBidi"/>
      <w:color w:val="272727" w:themeColor="text1" w:themeTint="D8"/>
    </w:rPr>
  </w:style>
  <w:style w:type="paragraph" w:styleId="Title">
    <w:name w:val="Title"/>
    <w:basedOn w:val="Normal"/>
    <w:next w:val="Normal"/>
    <w:link w:val="TitleChar"/>
    <w:uiPriority w:val="10"/>
    <w:qFormat/>
    <w:rsid w:val="00820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A50"/>
    <w:pPr>
      <w:spacing w:before="160"/>
      <w:jc w:val="center"/>
    </w:pPr>
    <w:rPr>
      <w:i/>
      <w:iCs/>
      <w:color w:val="404040" w:themeColor="text1" w:themeTint="BF"/>
    </w:rPr>
  </w:style>
  <w:style w:type="character" w:customStyle="1" w:styleId="QuoteChar">
    <w:name w:val="Quote Char"/>
    <w:basedOn w:val="DefaultParagraphFont"/>
    <w:link w:val="Quote"/>
    <w:uiPriority w:val="29"/>
    <w:rsid w:val="00820A50"/>
    <w:rPr>
      <w:i/>
      <w:iCs/>
      <w:color w:val="404040" w:themeColor="text1" w:themeTint="BF"/>
    </w:rPr>
  </w:style>
  <w:style w:type="paragraph" w:styleId="ListParagraph">
    <w:name w:val="List Paragraph"/>
    <w:basedOn w:val="Normal"/>
    <w:uiPriority w:val="34"/>
    <w:qFormat/>
    <w:rsid w:val="00820A50"/>
    <w:pPr>
      <w:ind w:left="720"/>
      <w:contextualSpacing/>
    </w:pPr>
  </w:style>
  <w:style w:type="character" w:styleId="IntenseEmphasis">
    <w:name w:val="Intense Emphasis"/>
    <w:basedOn w:val="DefaultParagraphFont"/>
    <w:uiPriority w:val="21"/>
    <w:qFormat/>
    <w:rsid w:val="00820A50"/>
    <w:rPr>
      <w:i/>
      <w:iCs/>
      <w:color w:val="0F4761" w:themeColor="accent1" w:themeShade="BF"/>
    </w:rPr>
  </w:style>
  <w:style w:type="paragraph" w:styleId="IntenseQuote">
    <w:name w:val="Intense Quote"/>
    <w:basedOn w:val="Normal"/>
    <w:next w:val="Normal"/>
    <w:link w:val="IntenseQuoteChar"/>
    <w:uiPriority w:val="30"/>
    <w:qFormat/>
    <w:rsid w:val="00820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A50"/>
    <w:rPr>
      <w:i/>
      <w:iCs/>
      <w:color w:val="0F4761" w:themeColor="accent1" w:themeShade="BF"/>
    </w:rPr>
  </w:style>
  <w:style w:type="character" w:styleId="IntenseReference">
    <w:name w:val="Intense Reference"/>
    <w:basedOn w:val="DefaultParagraphFont"/>
    <w:uiPriority w:val="32"/>
    <w:qFormat/>
    <w:rsid w:val="00820A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South Yorkshire Police</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Jelley, Megan 8793</dc:creator>
  <cp:keywords/>
  <dc:description/>
  <cp:lastModifiedBy>Leyenda, Vincent 9125</cp:lastModifiedBy>
  <cp:revision>4</cp:revision>
  <dcterms:created xsi:type="dcterms:W3CDTF">2025-11-27T10:52:00Z</dcterms:created>
  <dcterms:modified xsi:type="dcterms:W3CDTF">2026-03-09T11:36:00Z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2025-11-19T13:52:21Z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337031a3-d253-4745-b561-fde3cf58ea79</vt:lpwstr>
  </property>
  <property fmtid="{D5CDD505-2E9C-101B-9397-08002B2CF9AE}" pid="8" name="MSIP_Label_f529d828-a824-4b78-ab24-eaae5922aa38_ContentBits">
    <vt:lpwstr>0</vt:lpwstr>
  </property>
  <property fmtid="{D5CDD505-2E9C-101B-9397-08002B2CF9AE}" pid="9" name="MSIP_Label_f529d828-a824-4b78-ab24-eaae5922aa38_Tag">
    <vt:lpwstr>10, 3, 0, 1</vt:lpwstr>
  </property>
</Properties>
</file>