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8CEF5A" w14:textId="575A901A" w:rsidR="00DA2A1E" w:rsidRDefault="00C907C3" w:rsidP="00DA2A1E">
      <w:pPr>
        <w:shd w:val="clear" w:color="auto" w:fill="FFFFFF"/>
        <w:spacing w:after="0" w:line="288" w:lineRule="auto"/>
        <w:jc w:val="center"/>
        <w:outlineLvl w:val="0"/>
        <w:rPr>
          <w:rFonts w:ascii="Arial" w:eastAsia="Times New Roman" w:hAnsi="Arial" w:cs="Arial"/>
          <w:b/>
          <w:color w:val="000000" w:themeColor="text1"/>
          <w:kern w:val="36"/>
          <w:sz w:val="28"/>
          <w:lang w:eastAsia="en-GB"/>
        </w:rPr>
      </w:pPr>
      <w:r>
        <w:rPr>
          <w:rFonts w:ascii="Arial" w:eastAsia="Times New Roman" w:hAnsi="Arial" w:cs="Arial"/>
          <w:b/>
          <w:color w:val="000000" w:themeColor="text1"/>
          <w:kern w:val="36"/>
          <w:sz w:val="28"/>
          <w:lang w:eastAsia="en-GB"/>
        </w:rPr>
        <w:t xml:space="preserve">OPCC Data </w:t>
      </w:r>
      <w:r w:rsidR="000C049E">
        <w:rPr>
          <w:rFonts w:ascii="Arial" w:eastAsia="Times New Roman" w:hAnsi="Arial" w:cs="Arial"/>
          <w:b/>
          <w:color w:val="000000" w:themeColor="text1"/>
          <w:kern w:val="36"/>
          <w:sz w:val="28"/>
          <w:lang w:eastAsia="en-GB"/>
        </w:rPr>
        <w:t>Protection</w:t>
      </w:r>
      <w:r w:rsidR="00DA2A1E">
        <w:rPr>
          <w:rFonts w:ascii="Arial" w:eastAsia="Times New Roman" w:hAnsi="Arial" w:cs="Arial"/>
          <w:b/>
          <w:color w:val="000000" w:themeColor="text1"/>
          <w:kern w:val="36"/>
          <w:sz w:val="28"/>
          <w:lang w:eastAsia="en-GB"/>
        </w:rPr>
        <w:t xml:space="preserve"> Policy </w:t>
      </w:r>
    </w:p>
    <w:p w14:paraId="778C383A" w14:textId="77777777" w:rsidR="0035496F" w:rsidRDefault="0035496F" w:rsidP="00DA2A1E">
      <w:pPr>
        <w:shd w:val="clear" w:color="auto" w:fill="FFFFFF"/>
        <w:spacing w:after="0" w:line="288" w:lineRule="auto"/>
        <w:jc w:val="center"/>
        <w:outlineLvl w:val="0"/>
        <w:rPr>
          <w:rFonts w:ascii="Arial" w:eastAsia="Times New Roman" w:hAnsi="Arial" w:cs="Arial"/>
          <w:b/>
          <w:color w:val="000000" w:themeColor="text1"/>
          <w:kern w:val="36"/>
          <w:sz w:val="28"/>
          <w:lang w:eastAsia="en-GB"/>
        </w:rPr>
      </w:pPr>
    </w:p>
    <w:p w14:paraId="166EEF14" w14:textId="776DE54B" w:rsidR="002C428B" w:rsidRPr="002C428B" w:rsidRDefault="002F3B16" w:rsidP="002C428B">
      <w:pPr>
        <w:shd w:val="clear" w:color="auto" w:fill="FFFFFF"/>
        <w:spacing w:after="0" w:line="288" w:lineRule="auto"/>
        <w:outlineLvl w:val="0"/>
        <w:rPr>
          <w:rFonts w:ascii="Arial" w:eastAsia="Times New Roman" w:hAnsi="Arial" w:cs="Arial"/>
          <w:b/>
          <w:color w:val="000000" w:themeColor="text1"/>
          <w:kern w:val="36"/>
          <w:sz w:val="24"/>
          <w:szCs w:val="24"/>
          <w:lang w:eastAsia="en-GB"/>
        </w:rPr>
      </w:pPr>
      <w:r>
        <w:rPr>
          <w:rFonts w:ascii="Arial" w:eastAsia="Times New Roman" w:hAnsi="Arial" w:cs="Arial"/>
          <w:b/>
          <w:color w:val="000000" w:themeColor="text1"/>
          <w:kern w:val="36"/>
          <w:sz w:val="24"/>
          <w:szCs w:val="24"/>
          <w:lang w:eastAsia="en-GB"/>
        </w:rPr>
        <w:t xml:space="preserve">Document Approval and Identification </w:t>
      </w:r>
    </w:p>
    <w:tbl>
      <w:tblPr>
        <w:tblStyle w:val="TableGrid"/>
        <w:tblW w:w="0" w:type="auto"/>
        <w:tblLook w:val="04A0" w:firstRow="1" w:lastRow="0" w:firstColumn="1" w:lastColumn="0" w:noHBand="0" w:noVBand="1"/>
      </w:tblPr>
      <w:tblGrid>
        <w:gridCol w:w="5240"/>
        <w:gridCol w:w="5240"/>
      </w:tblGrid>
      <w:tr w:rsidR="0035496F" w14:paraId="0AF162AD" w14:textId="77777777" w:rsidTr="0035496F">
        <w:tc>
          <w:tcPr>
            <w:tcW w:w="5240" w:type="dxa"/>
          </w:tcPr>
          <w:p w14:paraId="76E471D9" w14:textId="1FE74E46" w:rsidR="0035496F" w:rsidRPr="002C428B" w:rsidRDefault="002C428B" w:rsidP="002F3B16">
            <w:pPr>
              <w:spacing w:line="288" w:lineRule="auto"/>
              <w:outlineLvl w:val="0"/>
              <w:rPr>
                <w:rFonts w:ascii="Arial" w:eastAsia="Times New Roman" w:hAnsi="Arial" w:cs="Arial"/>
                <w:color w:val="000000" w:themeColor="text1"/>
                <w:kern w:val="36"/>
                <w:sz w:val="24"/>
                <w:szCs w:val="24"/>
                <w:lang w:eastAsia="en-GB"/>
              </w:rPr>
            </w:pPr>
            <w:r w:rsidRPr="002C428B">
              <w:rPr>
                <w:rFonts w:ascii="Arial" w:eastAsia="Times New Roman" w:hAnsi="Arial" w:cs="Arial"/>
                <w:color w:val="000000" w:themeColor="text1"/>
                <w:kern w:val="36"/>
                <w:sz w:val="24"/>
                <w:szCs w:val="24"/>
                <w:lang w:eastAsia="en-GB"/>
              </w:rPr>
              <w:t>Author</w:t>
            </w:r>
          </w:p>
        </w:tc>
        <w:tc>
          <w:tcPr>
            <w:tcW w:w="5240" w:type="dxa"/>
          </w:tcPr>
          <w:p w14:paraId="34F08A2B" w14:textId="29D48AE6" w:rsidR="002C428B" w:rsidRPr="002C428B" w:rsidRDefault="000C049E" w:rsidP="00D315A6">
            <w:pPr>
              <w:spacing w:line="288" w:lineRule="auto"/>
              <w:outlineLvl w:val="0"/>
              <w:rPr>
                <w:rFonts w:ascii="Arial" w:eastAsia="Times New Roman" w:hAnsi="Arial" w:cs="Arial"/>
                <w:color w:val="000000" w:themeColor="text1"/>
                <w:kern w:val="36"/>
                <w:sz w:val="24"/>
                <w:szCs w:val="24"/>
                <w:lang w:eastAsia="en-GB"/>
              </w:rPr>
            </w:pPr>
            <w:r>
              <w:rPr>
                <w:rFonts w:ascii="Arial" w:eastAsia="Times New Roman" w:hAnsi="Arial" w:cs="Arial"/>
                <w:color w:val="000000" w:themeColor="text1"/>
                <w:kern w:val="36"/>
                <w:sz w:val="24"/>
                <w:szCs w:val="24"/>
                <w:lang w:eastAsia="en-GB"/>
              </w:rPr>
              <w:t xml:space="preserve">Mike Richmond </w:t>
            </w:r>
          </w:p>
        </w:tc>
      </w:tr>
      <w:tr w:rsidR="0035496F" w14:paraId="0FBD71B6" w14:textId="77777777" w:rsidTr="0035496F">
        <w:tc>
          <w:tcPr>
            <w:tcW w:w="5240" w:type="dxa"/>
          </w:tcPr>
          <w:p w14:paraId="69632C29" w14:textId="0E04B569" w:rsidR="0035496F" w:rsidRPr="002C428B" w:rsidRDefault="002C428B" w:rsidP="00D315A6">
            <w:pPr>
              <w:spacing w:line="288" w:lineRule="auto"/>
              <w:outlineLvl w:val="0"/>
              <w:rPr>
                <w:rFonts w:ascii="Arial" w:eastAsia="Times New Roman" w:hAnsi="Arial" w:cs="Arial"/>
                <w:color w:val="000000" w:themeColor="text1"/>
                <w:kern w:val="36"/>
                <w:sz w:val="24"/>
                <w:szCs w:val="24"/>
                <w:lang w:eastAsia="en-GB"/>
              </w:rPr>
            </w:pPr>
            <w:r w:rsidRPr="002C428B">
              <w:rPr>
                <w:rFonts w:ascii="Arial" w:eastAsia="Times New Roman" w:hAnsi="Arial" w:cs="Arial"/>
                <w:color w:val="000000" w:themeColor="text1"/>
                <w:kern w:val="36"/>
                <w:sz w:val="24"/>
                <w:szCs w:val="24"/>
                <w:lang w:eastAsia="en-GB"/>
              </w:rPr>
              <w:t>Document can be reviewed by</w:t>
            </w:r>
          </w:p>
        </w:tc>
        <w:tc>
          <w:tcPr>
            <w:tcW w:w="5240" w:type="dxa"/>
          </w:tcPr>
          <w:p w14:paraId="0343B232" w14:textId="6111DBA0" w:rsidR="0035496F" w:rsidRPr="008D3F0C" w:rsidRDefault="002C428B" w:rsidP="00D315A6">
            <w:pPr>
              <w:spacing w:line="288" w:lineRule="auto"/>
              <w:outlineLvl w:val="0"/>
              <w:rPr>
                <w:rFonts w:ascii="Arial" w:eastAsia="Times New Roman" w:hAnsi="Arial" w:cs="Arial"/>
                <w:color w:val="000000" w:themeColor="text1"/>
                <w:kern w:val="36"/>
                <w:sz w:val="24"/>
                <w:szCs w:val="24"/>
                <w:lang w:eastAsia="en-GB"/>
              </w:rPr>
            </w:pPr>
            <w:r w:rsidRPr="008D3F0C">
              <w:rPr>
                <w:rFonts w:ascii="Arial" w:eastAsia="Times New Roman" w:hAnsi="Arial" w:cs="Arial"/>
                <w:color w:val="000000" w:themeColor="text1"/>
                <w:kern w:val="36"/>
                <w:sz w:val="24"/>
                <w:szCs w:val="24"/>
                <w:lang w:eastAsia="en-GB"/>
              </w:rPr>
              <w:t>Statutory Operations Man</w:t>
            </w:r>
            <w:r w:rsidR="000F2193" w:rsidRPr="008D3F0C">
              <w:rPr>
                <w:rFonts w:ascii="Arial" w:eastAsia="Times New Roman" w:hAnsi="Arial" w:cs="Arial"/>
                <w:color w:val="000000" w:themeColor="text1"/>
                <w:kern w:val="36"/>
                <w:sz w:val="24"/>
                <w:szCs w:val="24"/>
                <w:lang w:eastAsia="en-GB"/>
              </w:rPr>
              <w:t>a</w:t>
            </w:r>
            <w:r w:rsidRPr="008D3F0C">
              <w:rPr>
                <w:rFonts w:ascii="Arial" w:eastAsia="Times New Roman" w:hAnsi="Arial" w:cs="Arial"/>
                <w:color w:val="000000" w:themeColor="text1"/>
                <w:kern w:val="36"/>
                <w:sz w:val="24"/>
                <w:szCs w:val="24"/>
                <w:lang w:eastAsia="en-GB"/>
              </w:rPr>
              <w:t>ger</w:t>
            </w:r>
          </w:p>
          <w:p w14:paraId="1CA20C45" w14:textId="4F8382F4" w:rsidR="002C428B" w:rsidRPr="008D3F0C" w:rsidRDefault="002C428B" w:rsidP="00D315A6">
            <w:pPr>
              <w:spacing w:line="288" w:lineRule="auto"/>
              <w:jc w:val="both"/>
              <w:outlineLvl w:val="0"/>
              <w:rPr>
                <w:rFonts w:ascii="Arial" w:eastAsia="Times New Roman" w:hAnsi="Arial" w:cs="Arial"/>
                <w:color w:val="000000" w:themeColor="text1"/>
                <w:kern w:val="36"/>
                <w:sz w:val="24"/>
                <w:szCs w:val="24"/>
                <w:lang w:eastAsia="en-GB"/>
              </w:rPr>
            </w:pPr>
          </w:p>
        </w:tc>
      </w:tr>
      <w:tr w:rsidR="0035496F" w14:paraId="10F882AE" w14:textId="77777777" w:rsidTr="0035496F">
        <w:tc>
          <w:tcPr>
            <w:tcW w:w="5240" w:type="dxa"/>
          </w:tcPr>
          <w:p w14:paraId="71C000E5" w14:textId="5717DCB0" w:rsidR="0035496F" w:rsidRPr="002C428B" w:rsidRDefault="002C428B" w:rsidP="00D315A6">
            <w:pPr>
              <w:spacing w:line="288" w:lineRule="auto"/>
              <w:outlineLvl w:val="0"/>
              <w:rPr>
                <w:rFonts w:ascii="Arial" w:eastAsia="Times New Roman" w:hAnsi="Arial" w:cs="Arial"/>
                <w:color w:val="000000" w:themeColor="text1"/>
                <w:kern w:val="36"/>
                <w:sz w:val="24"/>
                <w:szCs w:val="24"/>
                <w:lang w:eastAsia="en-GB"/>
              </w:rPr>
            </w:pPr>
            <w:r w:rsidRPr="002C428B">
              <w:rPr>
                <w:rFonts w:ascii="Arial" w:eastAsia="Times New Roman" w:hAnsi="Arial" w:cs="Arial"/>
                <w:color w:val="000000" w:themeColor="text1"/>
                <w:kern w:val="36"/>
                <w:sz w:val="24"/>
                <w:szCs w:val="24"/>
                <w:lang w:eastAsia="en-GB"/>
              </w:rPr>
              <w:t>Document can be approved by</w:t>
            </w:r>
          </w:p>
        </w:tc>
        <w:tc>
          <w:tcPr>
            <w:tcW w:w="5240" w:type="dxa"/>
          </w:tcPr>
          <w:p w14:paraId="497A3271" w14:textId="77777777" w:rsidR="0035496F" w:rsidRPr="008D3F0C" w:rsidRDefault="002C428B" w:rsidP="00D315A6">
            <w:pPr>
              <w:spacing w:line="288" w:lineRule="auto"/>
              <w:outlineLvl w:val="0"/>
              <w:rPr>
                <w:rFonts w:ascii="Arial" w:eastAsia="Times New Roman" w:hAnsi="Arial" w:cs="Arial"/>
                <w:color w:val="000000" w:themeColor="text1"/>
                <w:kern w:val="36"/>
                <w:sz w:val="24"/>
                <w:szCs w:val="24"/>
                <w:lang w:eastAsia="en-GB"/>
              </w:rPr>
            </w:pPr>
            <w:r w:rsidRPr="008D3F0C">
              <w:rPr>
                <w:rFonts w:ascii="Arial" w:eastAsia="Times New Roman" w:hAnsi="Arial" w:cs="Arial"/>
                <w:color w:val="000000" w:themeColor="text1"/>
                <w:kern w:val="36"/>
                <w:sz w:val="24"/>
                <w:szCs w:val="24"/>
                <w:lang w:eastAsia="en-GB"/>
              </w:rPr>
              <w:t>Chief Executive &amp; Monitoring Officer</w:t>
            </w:r>
          </w:p>
          <w:p w14:paraId="6DEF50B8" w14:textId="77777777" w:rsidR="002C428B" w:rsidRPr="008D3F0C" w:rsidRDefault="002C428B" w:rsidP="0035496F">
            <w:pPr>
              <w:spacing w:line="288" w:lineRule="auto"/>
              <w:jc w:val="center"/>
              <w:outlineLvl w:val="0"/>
              <w:rPr>
                <w:rFonts w:ascii="Arial" w:eastAsia="Times New Roman" w:hAnsi="Arial" w:cs="Arial"/>
                <w:color w:val="000000" w:themeColor="text1"/>
                <w:kern w:val="36"/>
                <w:sz w:val="24"/>
                <w:szCs w:val="24"/>
                <w:lang w:eastAsia="en-GB"/>
              </w:rPr>
            </w:pPr>
          </w:p>
        </w:tc>
      </w:tr>
      <w:tr w:rsidR="00D315A6" w14:paraId="461CA8FC" w14:textId="77777777" w:rsidTr="0035496F">
        <w:tc>
          <w:tcPr>
            <w:tcW w:w="5240" w:type="dxa"/>
          </w:tcPr>
          <w:p w14:paraId="693A1DD4" w14:textId="548BA77C" w:rsidR="00D315A6" w:rsidRPr="002C428B" w:rsidRDefault="00D315A6" w:rsidP="00D315A6">
            <w:pPr>
              <w:spacing w:line="288" w:lineRule="auto"/>
              <w:outlineLvl w:val="0"/>
              <w:rPr>
                <w:rFonts w:ascii="Arial" w:eastAsia="Times New Roman" w:hAnsi="Arial" w:cs="Arial"/>
                <w:color w:val="000000" w:themeColor="text1"/>
                <w:kern w:val="36"/>
                <w:sz w:val="24"/>
                <w:szCs w:val="24"/>
                <w:lang w:eastAsia="en-GB"/>
              </w:rPr>
            </w:pPr>
            <w:r>
              <w:rPr>
                <w:rFonts w:ascii="Arial" w:eastAsia="Times New Roman" w:hAnsi="Arial" w:cs="Arial"/>
                <w:color w:val="000000" w:themeColor="text1"/>
                <w:kern w:val="36"/>
                <w:sz w:val="24"/>
                <w:szCs w:val="24"/>
                <w:lang w:eastAsia="en-GB"/>
              </w:rPr>
              <w:t>Document Title</w:t>
            </w:r>
          </w:p>
        </w:tc>
        <w:tc>
          <w:tcPr>
            <w:tcW w:w="5240" w:type="dxa"/>
          </w:tcPr>
          <w:p w14:paraId="3424138B" w14:textId="380C4743" w:rsidR="00D315A6" w:rsidRPr="008D3F0C" w:rsidRDefault="000C049E" w:rsidP="00D315A6">
            <w:pPr>
              <w:spacing w:line="288" w:lineRule="auto"/>
              <w:outlineLvl w:val="0"/>
              <w:rPr>
                <w:rFonts w:ascii="Arial" w:eastAsia="Times New Roman" w:hAnsi="Arial" w:cs="Arial"/>
                <w:color w:val="000000" w:themeColor="text1"/>
                <w:kern w:val="36"/>
                <w:sz w:val="24"/>
                <w:szCs w:val="24"/>
                <w:lang w:eastAsia="en-GB"/>
              </w:rPr>
            </w:pPr>
            <w:r w:rsidRPr="008D3F0C">
              <w:rPr>
                <w:rFonts w:ascii="Arial" w:eastAsia="Times New Roman" w:hAnsi="Arial" w:cs="Arial"/>
                <w:color w:val="000000" w:themeColor="text1"/>
                <w:kern w:val="36"/>
                <w:sz w:val="24"/>
                <w:szCs w:val="24"/>
                <w:lang w:eastAsia="en-GB"/>
              </w:rPr>
              <w:t>OPCC Data Protection Policy</w:t>
            </w:r>
          </w:p>
          <w:p w14:paraId="75973D6E" w14:textId="0CA51505" w:rsidR="00D315A6" w:rsidRPr="008D3F0C" w:rsidRDefault="00D315A6" w:rsidP="00D315A6">
            <w:pPr>
              <w:spacing w:line="288" w:lineRule="auto"/>
              <w:outlineLvl w:val="0"/>
              <w:rPr>
                <w:rFonts w:ascii="Arial" w:eastAsia="Times New Roman" w:hAnsi="Arial" w:cs="Arial"/>
                <w:color w:val="000000" w:themeColor="text1"/>
                <w:kern w:val="36"/>
                <w:sz w:val="24"/>
                <w:szCs w:val="24"/>
                <w:lang w:eastAsia="en-GB"/>
              </w:rPr>
            </w:pPr>
          </w:p>
        </w:tc>
      </w:tr>
      <w:tr w:rsidR="00D315A6" w14:paraId="13FD7207" w14:textId="77777777" w:rsidTr="0035496F">
        <w:tc>
          <w:tcPr>
            <w:tcW w:w="5240" w:type="dxa"/>
          </w:tcPr>
          <w:p w14:paraId="2FF276F6" w14:textId="77777777" w:rsidR="00D315A6" w:rsidRDefault="00D315A6" w:rsidP="00D315A6">
            <w:pPr>
              <w:spacing w:line="288" w:lineRule="auto"/>
              <w:outlineLvl w:val="0"/>
              <w:rPr>
                <w:rFonts w:ascii="Arial" w:eastAsia="Times New Roman" w:hAnsi="Arial" w:cs="Arial"/>
                <w:color w:val="000000" w:themeColor="text1"/>
                <w:kern w:val="36"/>
                <w:sz w:val="24"/>
                <w:szCs w:val="24"/>
                <w:lang w:eastAsia="en-GB"/>
              </w:rPr>
            </w:pPr>
            <w:r>
              <w:rPr>
                <w:rFonts w:ascii="Arial" w:eastAsia="Times New Roman" w:hAnsi="Arial" w:cs="Arial"/>
                <w:color w:val="000000" w:themeColor="text1"/>
                <w:kern w:val="36"/>
                <w:sz w:val="24"/>
                <w:szCs w:val="24"/>
                <w:lang w:eastAsia="en-GB"/>
              </w:rPr>
              <w:t>Version Number</w:t>
            </w:r>
          </w:p>
          <w:p w14:paraId="2A8AA33D" w14:textId="7D0C3B53" w:rsidR="00D315A6" w:rsidRDefault="00D315A6" w:rsidP="00D315A6">
            <w:pPr>
              <w:spacing w:line="288" w:lineRule="auto"/>
              <w:outlineLvl w:val="0"/>
              <w:rPr>
                <w:rFonts w:ascii="Arial" w:eastAsia="Times New Roman" w:hAnsi="Arial" w:cs="Arial"/>
                <w:color w:val="000000" w:themeColor="text1"/>
                <w:kern w:val="36"/>
                <w:sz w:val="24"/>
                <w:szCs w:val="24"/>
                <w:lang w:eastAsia="en-GB"/>
              </w:rPr>
            </w:pPr>
          </w:p>
        </w:tc>
        <w:tc>
          <w:tcPr>
            <w:tcW w:w="5240" w:type="dxa"/>
          </w:tcPr>
          <w:p w14:paraId="23A53560" w14:textId="56D9E20B" w:rsidR="00D315A6" w:rsidRPr="008D3F0C" w:rsidRDefault="000F2193" w:rsidP="00D315A6">
            <w:pPr>
              <w:spacing w:line="288" w:lineRule="auto"/>
              <w:outlineLvl w:val="0"/>
              <w:rPr>
                <w:rFonts w:ascii="Arial" w:eastAsia="Times New Roman" w:hAnsi="Arial" w:cs="Arial"/>
                <w:color w:val="000000" w:themeColor="text1"/>
                <w:kern w:val="36"/>
                <w:sz w:val="24"/>
                <w:szCs w:val="24"/>
                <w:lang w:eastAsia="en-GB"/>
              </w:rPr>
            </w:pPr>
            <w:r w:rsidRPr="008D3F0C">
              <w:rPr>
                <w:rFonts w:ascii="Arial" w:eastAsia="Times New Roman" w:hAnsi="Arial" w:cs="Arial"/>
                <w:color w:val="000000" w:themeColor="text1"/>
                <w:kern w:val="36"/>
                <w:sz w:val="24"/>
                <w:szCs w:val="24"/>
                <w:lang w:eastAsia="en-GB"/>
              </w:rPr>
              <w:t>2</w:t>
            </w:r>
            <w:r w:rsidR="00CE2E46" w:rsidRPr="008D3F0C">
              <w:rPr>
                <w:rFonts w:ascii="Arial" w:eastAsia="Times New Roman" w:hAnsi="Arial" w:cs="Arial"/>
                <w:color w:val="000000" w:themeColor="text1"/>
                <w:kern w:val="36"/>
                <w:sz w:val="24"/>
                <w:szCs w:val="24"/>
                <w:lang w:eastAsia="en-GB"/>
              </w:rPr>
              <w:t>.1</w:t>
            </w:r>
          </w:p>
        </w:tc>
      </w:tr>
      <w:tr w:rsidR="00D315A6" w14:paraId="2B1A6DC9" w14:textId="77777777" w:rsidTr="0035496F">
        <w:tc>
          <w:tcPr>
            <w:tcW w:w="5240" w:type="dxa"/>
          </w:tcPr>
          <w:p w14:paraId="40B35FE9" w14:textId="03CA8507" w:rsidR="00D315A6" w:rsidRDefault="00D315A6" w:rsidP="00D315A6">
            <w:pPr>
              <w:spacing w:line="288" w:lineRule="auto"/>
              <w:outlineLvl w:val="0"/>
              <w:rPr>
                <w:rFonts w:ascii="Arial" w:eastAsia="Times New Roman" w:hAnsi="Arial" w:cs="Arial"/>
                <w:color w:val="000000" w:themeColor="text1"/>
                <w:kern w:val="36"/>
                <w:sz w:val="24"/>
                <w:szCs w:val="24"/>
                <w:lang w:eastAsia="en-GB"/>
              </w:rPr>
            </w:pPr>
            <w:r>
              <w:rPr>
                <w:rFonts w:ascii="Arial" w:eastAsia="Times New Roman" w:hAnsi="Arial" w:cs="Arial"/>
                <w:color w:val="000000" w:themeColor="text1"/>
                <w:kern w:val="36"/>
                <w:sz w:val="24"/>
                <w:szCs w:val="24"/>
                <w:lang w:eastAsia="en-GB"/>
              </w:rPr>
              <w:t>Date</w:t>
            </w:r>
          </w:p>
        </w:tc>
        <w:tc>
          <w:tcPr>
            <w:tcW w:w="5240" w:type="dxa"/>
          </w:tcPr>
          <w:p w14:paraId="0B5DFFDD" w14:textId="6707B0C6" w:rsidR="00D315A6" w:rsidRPr="008D3F0C" w:rsidRDefault="002424DE" w:rsidP="00D315A6">
            <w:pPr>
              <w:spacing w:line="288" w:lineRule="auto"/>
              <w:outlineLvl w:val="0"/>
              <w:rPr>
                <w:rFonts w:ascii="Arial" w:eastAsia="Times New Roman" w:hAnsi="Arial" w:cs="Arial"/>
                <w:color w:val="000000" w:themeColor="text1"/>
                <w:kern w:val="36"/>
                <w:sz w:val="24"/>
                <w:szCs w:val="24"/>
                <w:lang w:eastAsia="en-GB"/>
              </w:rPr>
            </w:pPr>
            <w:r w:rsidRPr="008D3F0C">
              <w:rPr>
                <w:rFonts w:ascii="Arial" w:eastAsia="Times New Roman" w:hAnsi="Arial" w:cs="Arial"/>
                <w:color w:val="000000" w:themeColor="text1"/>
                <w:kern w:val="36"/>
                <w:sz w:val="24"/>
                <w:szCs w:val="24"/>
                <w:lang w:eastAsia="en-GB"/>
              </w:rPr>
              <w:t>3</w:t>
            </w:r>
            <w:r w:rsidR="000F2193" w:rsidRPr="008D3F0C">
              <w:rPr>
                <w:rFonts w:ascii="Arial" w:eastAsia="Times New Roman" w:hAnsi="Arial" w:cs="Arial"/>
                <w:color w:val="000000" w:themeColor="text1"/>
                <w:kern w:val="36"/>
                <w:sz w:val="24"/>
                <w:szCs w:val="24"/>
                <w:lang w:eastAsia="en-GB"/>
              </w:rPr>
              <w:t>/</w:t>
            </w:r>
            <w:r w:rsidRPr="008D3F0C">
              <w:rPr>
                <w:rFonts w:ascii="Arial" w:eastAsia="Times New Roman" w:hAnsi="Arial" w:cs="Arial"/>
                <w:color w:val="000000" w:themeColor="text1"/>
                <w:kern w:val="36"/>
                <w:sz w:val="24"/>
                <w:szCs w:val="24"/>
                <w:lang w:eastAsia="en-GB"/>
              </w:rPr>
              <w:t>4</w:t>
            </w:r>
            <w:r w:rsidR="000F2193" w:rsidRPr="008D3F0C">
              <w:rPr>
                <w:rFonts w:ascii="Arial" w:eastAsia="Times New Roman" w:hAnsi="Arial" w:cs="Arial"/>
                <w:color w:val="000000" w:themeColor="text1"/>
                <w:kern w:val="36"/>
                <w:sz w:val="24"/>
                <w:szCs w:val="24"/>
                <w:lang w:eastAsia="en-GB"/>
              </w:rPr>
              <w:t>/202</w:t>
            </w:r>
            <w:r w:rsidRPr="008D3F0C">
              <w:rPr>
                <w:rFonts w:ascii="Arial" w:eastAsia="Times New Roman" w:hAnsi="Arial" w:cs="Arial"/>
                <w:color w:val="000000" w:themeColor="text1"/>
                <w:kern w:val="36"/>
                <w:sz w:val="24"/>
                <w:szCs w:val="24"/>
                <w:lang w:eastAsia="en-GB"/>
              </w:rPr>
              <w:t>5</w:t>
            </w:r>
          </w:p>
          <w:p w14:paraId="3C73373A" w14:textId="77777777" w:rsidR="00D315A6" w:rsidRPr="008D3F0C" w:rsidRDefault="00D315A6" w:rsidP="00D315A6">
            <w:pPr>
              <w:spacing w:line="288" w:lineRule="auto"/>
              <w:outlineLvl w:val="0"/>
              <w:rPr>
                <w:rFonts w:ascii="Arial" w:eastAsia="Times New Roman" w:hAnsi="Arial" w:cs="Arial"/>
                <w:color w:val="000000" w:themeColor="text1"/>
                <w:kern w:val="36"/>
                <w:sz w:val="24"/>
                <w:szCs w:val="24"/>
                <w:lang w:eastAsia="en-GB"/>
              </w:rPr>
            </w:pPr>
          </w:p>
        </w:tc>
      </w:tr>
      <w:tr w:rsidR="00D315A6" w14:paraId="6FDFDE6F" w14:textId="77777777" w:rsidTr="0035496F">
        <w:tc>
          <w:tcPr>
            <w:tcW w:w="5240" w:type="dxa"/>
          </w:tcPr>
          <w:p w14:paraId="6E388F47" w14:textId="363A0738" w:rsidR="00D315A6" w:rsidRDefault="00D315A6" w:rsidP="00D315A6">
            <w:pPr>
              <w:spacing w:line="288" w:lineRule="auto"/>
              <w:outlineLvl w:val="0"/>
              <w:rPr>
                <w:rFonts w:ascii="Arial" w:eastAsia="Times New Roman" w:hAnsi="Arial" w:cs="Arial"/>
                <w:color w:val="000000" w:themeColor="text1"/>
                <w:kern w:val="36"/>
                <w:sz w:val="24"/>
                <w:szCs w:val="24"/>
                <w:lang w:eastAsia="en-GB"/>
              </w:rPr>
            </w:pPr>
            <w:r>
              <w:rPr>
                <w:rFonts w:ascii="Arial" w:eastAsia="Times New Roman" w:hAnsi="Arial" w:cs="Arial"/>
                <w:color w:val="000000" w:themeColor="text1"/>
                <w:kern w:val="36"/>
                <w:sz w:val="24"/>
                <w:szCs w:val="24"/>
                <w:lang w:eastAsia="en-GB"/>
              </w:rPr>
              <w:t>Total Number of Pages</w:t>
            </w:r>
          </w:p>
        </w:tc>
        <w:tc>
          <w:tcPr>
            <w:tcW w:w="5240" w:type="dxa"/>
          </w:tcPr>
          <w:p w14:paraId="1B798AC2" w14:textId="674D9E03" w:rsidR="00D315A6" w:rsidRPr="008D3F0C" w:rsidRDefault="002E322F" w:rsidP="00D315A6">
            <w:pPr>
              <w:spacing w:line="288" w:lineRule="auto"/>
              <w:outlineLvl w:val="0"/>
              <w:rPr>
                <w:rFonts w:ascii="Arial" w:eastAsia="Times New Roman" w:hAnsi="Arial" w:cs="Arial"/>
                <w:color w:val="000000" w:themeColor="text1"/>
                <w:kern w:val="36"/>
                <w:sz w:val="24"/>
                <w:szCs w:val="24"/>
                <w:lang w:eastAsia="en-GB"/>
              </w:rPr>
            </w:pPr>
            <w:r w:rsidRPr="008D3F0C">
              <w:rPr>
                <w:rFonts w:ascii="Arial" w:eastAsia="Times New Roman" w:hAnsi="Arial" w:cs="Arial"/>
                <w:color w:val="000000" w:themeColor="text1"/>
                <w:kern w:val="36"/>
                <w:sz w:val="24"/>
                <w:szCs w:val="24"/>
                <w:lang w:eastAsia="en-GB"/>
              </w:rPr>
              <w:t>6</w:t>
            </w:r>
          </w:p>
          <w:p w14:paraId="0ADD8910" w14:textId="77777777" w:rsidR="00D315A6" w:rsidRPr="008D3F0C" w:rsidRDefault="00D315A6" w:rsidP="00D315A6">
            <w:pPr>
              <w:spacing w:line="288" w:lineRule="auto"/>
              <w:outlineLvl w:val="0"/>
              <w:rPr>
                <w:rFonts w:ascii="Arial" w:eastAsia="Times New Roman" w:hAnsi="Arial" w:cs="Arial"/>
                <w:color w:val="000000" w:themeColor="text1"/>
                <w:kern w:val="36"/>
                <w:sz w:val="24"/>
                <w:szCs w:val="24"/>
                <w:lang w:eastAsia="en-GB"/>
              </w:rPr>
            </w:pPr>
          </w:p>
        </w:tc>
      </w:tr>
      <w:tr w:rsidR="00D315A6" w14:paraId="417CEB7E" w14:textId="77777777" w:rsidTr="0035496F">
        <w:tc>
          <w:tcPr>
            <w:tcW w:w="5240" w:type="dxa"/>
          </w:tcPr>
          <w:p w14:paraId="5284795B" w14:textId="70631D62" w:rsidR="00D315A6" w:rsidRDefault="00D315A6" w:rsidP="00D315A6">
            <w:pPr>
              <w:spacing w:line="288" w:lineRule="auto"/>
              <w:outlineLvl w:val="0"/>
              <w:rPr>
                <w:rFonts w:ascii="Arial" w:eastAsia="Times New Roman" w:hAnsi="Arial" w:cs="Arial"/>
                <w:color w:val="000000" w:themeColor="text1"/>
                <w:kern w:val="36"/>
                <w:sz w:val="24"/>
                <w:szCs w:val="24"/>
                <w:lang w:eastAsia="en-GB"/>
              </w:rPr>
            </w:pPr>
            <w:r>
              <w:rPr>
                <w:rFonts w:ascii="Arial" w:eastAsia="Times New Roman" w:hAnsi="Arial" w:cs="Arial"/>
                <w:color w:val="000000" w:themeColor="text1"/>
                <w:kern w:val="36"/>
                <w:sz w:val="24"/>
                <w:szCs w:val="24"/>
                <w:lang w:eastAsia="en-GB"/>
              </w:rPr>
              <w:t xml:space="preserve">Security Marking </w:t>
            </w:r>
          </w:p>
        </w:tc>
        <w:tc>
          <w:tcPr>
            <w:tcW w:w="5240" w:type="dxa"/>
          </w:tcPr>
          <w:p w14:paraId="1A9AA92D" w14:textId="77777777" w:rsidR="00D315A6" w:rsidRPr="008D3F0C" w:rsidRDefault="00D315A6" w:rsidP="00D315A6">
            <w:pPr>
              <w:spacing w:line="288" w:lineRule="auto"/>
              <w:outlineLvl w:val="0"/>
              <w:rPr>
                <w:rFonts w:ascii="Arial" w:eastAsia="Times New Roman" w:hAnsi="Arial" w:cs="Arial"/>
                <w:color w:val="000000" w:themeColor="text1"/>
                <w:kern w:val="36"/>
                <w:sz w:val="24"/>
                <w:szCs w:val="24"/>
                <w:lang w:eastAsia="en-GB"/>
              </w:rPr>
            </w:pPr>
            <w:r w:rsidRPr="008D3F0C">
              <w:rPr>
                <w:rFonts w:ascii="Arial" w:eastAsia="Times New Roman" w:hAnsi="Arial" w:cs="Arial"/>
                <w:color w:val="000000" w:themeColor="text1"/>
                <w:kern w:val="36"/>
                <w:sz w:val="24"/>
                <w:szCs w:val="24"/>
                <w:lang w:eastAsia="en-GB"/>
              </w:rPr>
              <w:t>OFFICIAL</w:t>
            </w:r>
          </w:p>
          <w:p w14:paraId="3F30781E" w14:textId="77777777" w:rsidR="00D315A6" w:rsidRPr="008D3F0C" w:rsidRDefault="00D315A6" w:rsidP="00D315A6">
            <w:pPr>
              <w:spacing w:line="288" w:lineRule="auto"/>
              <w:outlineLvl w:val="0"/>
              <w:rPr>
                <w:rFonts w:ascii="Arial" w:eastAsia="Times New Roman" w:hAnsi="Arial" w:cs="Arial"/>
                <w:color w:val="000000" w:themeColor="text1"/>
                <w:kern w:val="36"/>
                <w:sz w:val="24"/>
                <w:szCs w:val="24"/>
                <w:lang w:eastAsia="en-GB"/>
              </w:rPr>
            </w:pPr>
          </w:p>
        </w:tc>
      </w:tr>
    </w:tbl>
    <w:p w14:paraId="56DBD1EB" w14:textId="77777777" w:rsidR="002F3B16" w:rsidRDefault="002F3B16" w:rsidP="002C428B">
      <w:pPr>
        <w:shd w:val="clear" w:color="auto" w:fill="FFFFFF"/>
        <w:spacing w:after="0" w:line="288" w:lineRule="auto"/>
        <w:outlineLvl w:val="0"/>
        <w:rPr>
          <w:rFonts w:ascii="Arial" w:eastAsia="Times New Roman" w:hAnsi="Arial" w:cs="Arial"/>
          <w:b/>
          <w:color w:val="000000" w:themeColor="text1"/>
          <w:kern w:val="36"/>
          <w:sz w:val="28"/>
          <w:lang w:eastAsia="en-GB"/>
        </w:rPr>
      </w:pPr>
    </w:p>
    <w:p w14:paraId="7541FD60" w14:textId="0F0B7B80" w:rsidR="002F3B16" w:rsidRPr="002F3B16" w:rsidRDefault="002F3B16" w:rsidP="00DA2A1E">
      <w:pPr>
        <w:shd w:val="clear" w:color="auto" w:fill="FFFFFF"/>
        <w:spacing w:after="0" w:line="288" w:lineRule="auto"/>
        <w:outlineLvl w:val="0"/>
        <w:rPr>
          <w:rFonts w:ascii="Arial" w:eastAsia="Times New Roman" w:hAnsi="Arial" w:cs="Arial"/>
          <w:b/>
          <w:color w:val="000000" w:themeColor="text1"/>
          <w:kern w:val="36"/>
          <w:sz w:val="24"/>
          <w:szCs w:val="24"/>
          <w:lang w:eastAsia="en-GB"/>
        </w:rPr>
      </w:pPr>
      <w:r>
        <w:rPr>
          <w:rFonts w:ascii="Arial" w:eastAsia="Times New Roman" w:hAnsi="Arial" w:cs="Arial"/>
          <w:b/>
          <w:color w:val="000000" w:themeColor="text1"/>
          <w:kern w:val="36"/>
          <w:sz w:val="24"/>
          <w:szCs w:val="24"/>
          <w:lang w:eastAsia="en-GB"/>
        </w:rPr>
        <w:t>Version History</w:t>
      </w:r>
    </w:p>
    <w:tbl>
      <w:tblPr>
        <w:tblStyle w:val="TableGrid"/>
        <w:tblW w:w="0" w:type="auto"/>
        <w:tblLook w:val="04A0" w:firstRow="1" w:lastRow="0" w:firstColumn="1" w:lastColumn="0" w:noHBand="0" w:noVBand="1"/>
      </w:tblPr>
      <w:tblGrid>
        <w:gridCol w:w="1696"/>
        <w:gridCol w:w="1701"/>
        <w:gridCol w:w="1985"/>
        <w:gridCol w:w="1843"/>
        <w:gridCol w:w="3255"/>
      </w:tblGrid>
      <w:tr w:rsidR="002F3B16" w14:paraId="14B41D08" w14:textId="77777777" w:rsidTr="002F3B16">
        <w:tc>
          <w:tcPr>
            <w:tcW w:w="1696" w:type="dxa"/>
          </w:tcPr>
          <w:p w14:paraId="68321198" w14:textId="4A110DB8" w:rsidR="002F3B16" w:rsidRDefault="002F3B16" w:rsidP="002F55A3">
            <w:pPr>
              <w:spacing w:line="288" w:lineRule="auto"/>
              <w:jc w:val="center"/>
              <w:outlineLvl w:val="0"/>
              <w:rPr>
                <w:rFonts w:ascii="Arial" w:eastAsia="Times New Roman" w:hAnsi="Arial" w:cs="Arial"/>
                <w:b/>
                <w:color w:val="000000" w:themeColor="text1"/>
                <w:kern w:val="36"/>
                <w:sz w:val="24"/>
                <w:lang w:eastAsia="en-GB"/>
              </w:rPr>
            </w:pPr>
            <w:r>
              <w:rPr>
                <w:rFonts w:ascii="Arial" w:eastAsia="Times New Roman" w:hAnsi="Arial" w:cs="Arial"/>
                <w:b/>
                <w:color w:val="000000" w:themeColor="text1"/>
                <w:kern w:val="36"/>
                <w:sz w:val="24"/>
                <w:lang w:eastAsia="en-GB"/>
              </w:rPr>
              <w:t>Version No.</w:t>
            </w:r>
          </w:p>
        </w:tc>
        <w:tc>
          <w:tcPr>
            <w:tcW w:w="1701" w:type="dxa"/>
          </w:tcPr>
          <w:p w14:paraId="6C13A2A3" w14:textId="77777777" w:rsidR="002F3B16" w:rsidRDefault="002F3B16" w:rsidP="002F55A3">
            <w:pPr>
              <w:spacing w:line="288" w:lineRule="auto"/>
              <w:jc w:val="center"/>
              <w:outlineLvl w:val="0"/>
              <w:rPr>
                <w:rFonts w:ascii="Arial" w:eastAsia="Times New Roman" w:hAnsi="Arial" w:cs="Arial"/>
                <w:b/>
                <w:color w:val="000000" w:themeColor="text1"/>
                <w:kern w:val="36"/>
                <w:sz w:val="24"/>
                <w:lang w:eastAsia="en-GB"/>
              </w:rPr>
            </w:pPr>
            <w:r>
              <w:rPr>
                <w:rFonts w:ascii="Arial" w:eastAsia="Times New Roman" w:hAnsi="Arial" w:cs="Arial"/>
                <w:b/>
                <w:color w:val="000000" w:themeColor="text1"/>
                <w:kern w:val="36"/>
                <w:sz w:val="24"/>
                <w:lang w:eastAsia="en-GB"/>
              </w:rPr>
              <w:t>Version</w:t>
            </w:r>
          </w:p>
          <w:p w14:paraId="63D9DFBD" w14:textId="48533CA1" w:rsidR="002F3B16" w:rsidRDefault="002F3B16" w:rsidP="002F55A3">
            <w:pPr>
              <w:spacing w:line="288" w:lineRule="auto"/>
              <w:jc w:val="center"/>
              <w:outlineLvl w:val="0"/>
              <w:rPr>
                <w:rFonts w:ascii="Arial" w:eastAsia="Times New Roman" w:hAnsi="Arial" w:cs="Arial"/>
                <w:b/>
                <w:color w:val="000000" w:themeColor="text1"/>
                <w:kern w:val="36"/>
                <w:sz w:val="24"/>
                <w:lang w:eastAsia="en-GB"/>
              </w:rPr>
            </w:pPr>
            <w:r>
              <w:rPr>
                <w:rFonts w:ascii="Arial" w:eastAsia="Times New Roman" w:hAnsi="Arial" w:cs="Arial"/>
                <w:b/>
                <w:color w:val="000000" w:themeColor="text1"/>
                <w:kern w:val="36"/>
                <w:sz w:val="24"/>
                <w:lang w:eastAsia="en-GB"/>
              </w:rPr>
              <w:t xml:space="preserve"> Issue Date</w:t>
            </w:r>
          </w:p>
        </w:tc>
        <w:tc>
          <w:tcPr>
            <w:tcW w:w="1985" w:type="dxa"/>
          </w:tcPr>
          <w:p w14:paraId="3869489A" w14:textId="1FEBEA8D" w:rsidR="002F3B16" w:rsidRDefault="002F3B16" w:rsidP="002F3B16">
            <w:pPr>
              <w:spacing w:line="288" w:lineRule="auto"/>
              <w:jc w:val="center"/>
              <w:outlineLvl w:val="0"/>
              <w:rPr>
                <w:rFonts w:ascii="Arial" w:eastAsia="Times New Roman" w:hAnsi="Arial" w:cs="Arial"/>
                <w:b/>
                <w:color w:val="000000" w:themeColor="text1"/>
                <w:kern w:val="36"/>
                <w:sz w:val="24"/>
                <w:lang w:eastAsia="en-GB"/>
              </w:rPr>
            </w:pPr>
            <w:r>
              <w:rPr>
                <w:rFonts w:ascii="Arial" w:eastAsia="Times New Roman" w:hAnsi="Arial" w:cs="Arial"/>
                <w:b/>
                <w:color w:val="000000" w:themeColor="text1"/>
                <w:kern w:val="36"/>
                <w:sz w:val="24"/>
                <w:lang w:eastAsia="en-GB"/>
              </w:rPr>
              <w:t>Authored / Revision by</w:t>
            </w:r>
          </w:p>
        </w:tc>
        <w:tc>
          <w:tcPr>
            <w:tcW w:w="1843" w:type="dxa"/>
          </w:tcPr>
          <w:p w14:paraId="3A1307D9" w14:textId="3891ECE1" w:rsidR="002F3B16" w:rsidRDefault="002F3B16" w:rsidP="002F55A3">
            <w:pPr>
              <w:spacing w:line="288" w:lineRule="auto"/>
              <w:jc w:val="center"/>
              <w:outlineLvl w:val="0"/>
              <w:rPr>
                <w:rFonts w:ascii="Arial" w:eastAsia="Times New Roman" w:hAnsi="Arial" w:cs="Arial"/>
                <w:b/>
                <w:color w:val="000000" w:themeColor="text1"/>
                <w:kern w:val="36"/>
                <w:sz w:val="24"/>
                <w:lang w:eastAsia="en-GB"/>
              </w:rPr>
            </w:pPr>
            <w:r>
              <w:rPr>
                <w:rFonts w:ascii="Arial" w:eastAsia="Times New Roman" w:hAnsi="Arial" w:cs="Arial"/>
                <w:b/>
                <w:color w:val="000000" w:themeColor="text1"/>
                <w:kern w:val="36"/>
                <w:sz w:val="24"/>
                <w:lang w:eastAsia="en-GB"/>
              </w:rPr>
              <w:t>Approved by</w:t>
            </w:r>
          </w:p>
        </w:tc>
        <w:tc>
          <w:tcPr>
            <w:tcW w:w="3255" w:type="dxa"/>
          </w:tcPr>
          <w:p w14:paraId="0720E9C0" w14:textId="6C287606" w:rsidR="002F3B16" w:rsidRDefault="002F3B16" w:rsidP="002F55A3">
            <w:pPr>
              <w:spacing w:line="288" w:lineRule="auto"/>
              <w:jc w:val="center"/>
              <w:outlineLvl w:val="0"/>
              <w:rPr>
                <w:rFonts w:ascii="Arial" w:eastAsia="Times New Roman" w:hAnsi="Arial" w:cs="Arial"/>
                <w:b/>
                <w:color w:val="000000" w:themeColor="text1"/>
                <w:kern w:val="36"/>
                <w:sz w:val="24"/>
                <w:lang w:eastAsia="en-GB"/>
              </w:rPr>
            </w:pPr>
            <w:r>
              <w:rPr>
                <w:rFonts w:ascii="Arial" w:eastAsia="Times New Roman" w:hAnsi="Arial" w:cs="Arial"/>
                <w:b/>
                <w:color w:val="000000" w:themeColor="text1"/>
                <w:kern w:val="36"/>
                <w:sz w:val="24"/>
                <w:lang w:eastAsia="en-GB"/>
              </w:rPr>
              <w:t xml:space="preserve">Reason </w:t>
            </w:r>
          </w:p>
        </w:tc>
      </w:tr>
      <w:tr w:rsidR="002F3B16" w14:paraId="44CF1970" w14:textId="77777777" w:rsidTr="002F3B16">
        <w:tc>
          <w:tcPr>
            <w:tcW w:w="1696" w:type="dxa"/>
          </w:tcPr>
          <w:p w14:paraId="5CCA6ACF" w14:textId="05C843F5" w:rsidR="002F3B16" w:rsidRDefault="000F2193" w:rsidP="002F55A3">
            <w:pPr>
              <w:spacing w:line="288" w:lineRule="auto"/>
              <w:jc w:val="center"/>
              <w:outlineLvl w:val="0"/>
              <w:rPr>
                <w:rFonts w:ascii="Arial" w:eastAsia="Times New Roman" w:hAnsi="Arial" w:cs="Arial"/>
                <w:b/>
                <w:color w:val="000000" w:themeColor="text1"/>
                <w:kern w:val="36"/>
                <w:sz w:val="24"/>
                <w:lang w:eastAsia="en-GB"/>
              </w:rPr>
            </w:pPr>
            <w:r>
              <w:rPr>
                <w:rFonts w:ascii="Arial" w:eastAsia="Times New Roman" w:hAnsi="Arial" w:cs="Arial"/>
                <w:b/>
                <w:color w:val="000000" w:themeColor="text1"/>
                <w:kern w:val="36"/>
                <w:sz w:val="24"/>
                <w:lang w:eastAsia="en-GB"/>
              </w:rPr>
              <w:t>2</w:t>
            </w:r>
          </w:p>
        </w:tc>
        <w:tc>
          <w:tcPr>
            <w:tcW w:w="1701" w:type="dxa"/>
          </w:tcPr>
          <w:p w14:paraId="5C707C29" w14:textId="6EE3B916" w:rsidR="002F3B16" w:rsidRDefault="000F2193" w:rsidP="002F55A3">
            <w:pPr>
              <w:spacing w:line="288" w:lineRule="auto"/>
              <w:jc w:val="center"/>
              <w:outlineLvl w:val="0"/>
              <w:rPr>
                <w:rFonts w:ascii="Arial" w:eastAsia="Times New Roman" w:hAnsi="Arial" w:cs="Arial"/>
                <w:b/>
                <w:color w:val="000000" w:themeColor="text1"/>
                <w:kern w:val="36"/>
                <w:sz w:val="24"/>
                <w:lang w:eastAsia="en-GB"/>
              </w:rPr>
            </w:pPr>
            <w:r>
              <w:rPr>
                <w:rFonts w:ascii="Arial" w:eastAsia="Times New Roman" w:hAnsi="Arial" w:cs="Arial"/>
                <w:b/>
                <w:color w:val="000000" w:themeColor="text1"/>
                <w:kern w:val="36"/>
                <w:sz w:val="24"/>
                <w:lang w:eastAsia="en-GB"/>
              </w:rPr>
              <w:t>28/6/2022</w:t>
            </w:r>
          </w:p>
        </w:tc>
        <w:tc>
          <w:tcPr>
            <w:tcW w:w="1985" w:type="dxa"/>
          </w:tcPr>
          <w:p w14:paraId="62581F7D" w14:textId="31406BD7" w:rsidR="002F3B16" w:rsidRDefault="000F2193" w:rsidP="002F55A3">
            <w:pPr>
              <w:spacing w:line="288" w:lineRule="auto"/>
              <w:jc w:val="center"/>
              <w:outlineLvl w:val="0"/>
              <w:rPr>
                <w:rFonts w:ascii="Arial" w:eastAsia="Times New Roman" w:hAnsi="Arial" w:cs="Arial"/>
                <w:b/>
                <w:color w:val="000000" w:themeColor="text1"/>
                <w:kern w:val="36"/>
                <w:sz w:val="24"/>
                <w:lang w:eastAsia="en-GB"/>
              </w:rPr>
            </w:pPr>
            <w:r>
              <w:rPr>
                <w:rFonts w:ascii="Arial" w:eastAsia="Times New Roman" w:hAnsi="Arial" w:cs="Arial"/>
                <w:b/>
                <w:color w:val="000000" w:themeColor="text1"/>
                <w:kern w:val="36"/>
                <w:sz w:val="24"/>
                <w:lang w:eastAsia="en-GB"/>
              </w:rPr>
              <w:t>Mike Richmond</w:t>
            </w:r>
          </w:p>
        </w:tc>
        <w:tc>
          <w:tcPr>
            <w:tcW w:w="1843" w:type="dxa"/>
          </w:tcPr>
          <w:p w14:paraId="69BCDC25" w14:textId="0F75F1D9" w:rsidR="002F3B16" w:rsidRDefault="000F2193" w:rsidP="002F55A3">
            <w:pPr>
              <w:spacing w:line="288" w:lineRule="auto"/>
              <w:jc w:val="center"/>
              <w:outlineLvl w:val="0"/>
              <w:rPr>
                <w:rFonts w:ascii="Arial" w:eastAsia="Times New Roman" w:hAnsi="Arial" w:cs="Arial"/>
                <w:b/>
                <w:color w:val="000000" w:themeColor="text1"/>
                <w:kern w:val="36"/>
                <w:sz w:val="24"/>
                <w:lang w:eastAsia="en-GB"/>
              </w:rPr>
            </w:pPr>
            <w:r>
              <w:rPr>
                <w:rFonts w:ascii="Arial" w:eastAsia="Times New Roman" w:hAnsi="Arial" w:cs="Arial"/>
                <w:b/>
                <w:color w:val="000000" w:themeColor="text1"/>
                <w:kern w:val="36"/>
                <w:sz w:val="24"/>
                <w:lang w:eastAsia="en-GB"/>
              </w:rPr>
              <w:t>Rachel Cook</w:t>
            </w:r>
          </w:p>
        </w:tc>
        <w:tc>
          <w:tcPr>
            <w:tcW w:w="3255" w:type="dxa"/>
          </w:tcPr>
          <w:p w14:paraId="0D565A33" w14:textId="4CCF31BB" w:rsidR="002F3B16" w:rsidRDefault="000F2193" w:rsidP="000F2193">
            <w:pPr>
              <w:spacing w:line="288" w:lineRule="auto"/>
              <w:jc w:val="center"/>
              <w:outlineLvl w:val="0"/>
              <w:rPr>
                <w:rFonts w:ascii="Arial" w:eastAsia="Times New Roman" w:hAnsi="Arial" w:cs="Arial"/>
                <w:b/>
                <w:color w:val="000000" w:themeColor="text1"/>
                <w:kern w:val="36"/>
                <w:sz w:val="24"/>
                <w:lang w:eastAsia="en-GB"/>
              </w:rPr>
            </w:pPr>
            <w:r>
              <w:rPr>
                <w:rFonts w:ascii="Arial" w:eastAsia="Times New Roman" w:hAnsi="Arial" w:cs="Arial"/>
                <w:b/>
                <w:color w:val="000000" w:themeColor="text1"/>
                <w:kern w:val="36"/>
                <w:sz w:val="24"/>
                <w:lang w:eastAsia="en-GB"/>
              </w:rPr>
              <w:t>Updated following APACE guidance</w:t>
            </w:r>
          </w:p>
        </w:tc>
      </w:tr>
      <w:tr w:rsidR="002F3B16" w14:paraId="01F045F2" w14:textId="77777777" w:rsidTr="002F3B16">
        <w:tc>
          <w:tcPr>
            <w:tcW w:w="1696" w:type="dxa"/>
          </w:tcPr>
          <w:p w14:paraId="580FBF65" w14:textId="20CF31A2" w:rsidR="002F3B16" w:rsidRDefault="00CE2E46" w:rsidP="002F55A3">
            <w:pPr>
              <w:spacing w:line="288" w:lineRule="auto"/>
              <w:jc w:val="center"/>
              <w:outlineLvl w:val="0"/>
              <w:rPr>
                <w:rFonts w:ascii="Arial" w:eastAsia="Times New Roman" w:hAnsi="Arial" w:cs="Arial"/>
                <w:b/>
                <w:color w:val="000000" w:themeColor="text1"/>
                <w:kern w:val="36"/>
                <w:sz w:val="24"/>
                <w:lang w:eastAsia="en-GB"/>
              </w:rPr>
            </w:pPr>
            <w:r>
              <w:rPr>
                <w:rFonts w:ascii="Arial" w:eastAsia="Times New Roman" w:hAnsi="Arial" w:cs="Arial"/>
                <w:b/>
                <w:color w:val="000000" w:themeColor="text1"/>
                <w:kern w:val="36"/>
                <w:sz w:val="24"/>
                <w:lang w:eastAsia="en-GB"/>
              </w:rPr>
              <w:t>2.1</w:t>
            </w:r>
          </w:p>
        </w:tc>
        <w:tc>
          <w:tcPr>
            <w:tcW w:w="1701" w:type="dxa"/>
          </w:tcPr>
          <w:p w14:paraId="6F2E5A22" w14:textId="172FCDAD" w:rsidR="002F3B16" w:rsidRDefault="00CE2E46" w:rsidP="002F55A3">
            <w:pPr>
              <w:spacing w:line="288" w:lineRule="auto"/>
              <w:jc w:val="center"/>
              <w:outlineLvl w:val="0"/>
              <w:rPr>
                <w:rFonts w:ascii="Arial" w:eastAsia="Times New Roman" w:hAnsi="Arial" w:cs="Arial"/>
                <w:b/>
                <w:color w:val="000000" w:themeColor="text1"/>
                <w:kern w:val="36"/>
                <w:sz w:val="24"/>
                <w:lang w:eastAsia="en-GB"/>
              </w:rPr>
            </w:pPr>
            <w:r>
              <w:rPr>
                <w:rFonts w:ascii="Arial" w:eastAsia="Times New Roman" w:hAnsi="Arial" w:cs="Arial"/>
                <w:b/>
                <w:color w:val="000000" w:themeColor="text1"/>
                <w:kern w:val="36"/>
                <w:sz w:val="24"/>
                <w:lang w:eastAsia="en-GB"/>
              </w:rPr>
              <w:t>25/6/2024</w:t>
            </w:r>
          </w:p>
        </w:tc>
        <w:tc>
          <w:tcPr>
            <w:tcW w:w="1985" w:type="dxa"/>
          </w:tcPr>
          <w:p w14:paraId="6044BF63" w14:textId="759B6C1E" w:rsidR="002F3B16" w:rsidRDefault="00CE2E46" w:rsidP="002F55A3">
            <w:pPr>
              <w:spacing w:line="288" w:lineRule="auto"/>
              <w:jc w:val="center"/>
              <w:outlineLvl w:val="0"/>
              <w:rPr>
                <w:rFonts w:ascii="Arial" w:eastAsia="Times New Roman" w:hAnsi="Arial" w:cs="Arial"/>
                <w:b/>
                <w:color w:val="000000" w:themeColor="text1"/>
                <w:kern w:val="36"/>
                <w:sz w:val="24"/>
                <w:lang w:eastAsia="en-GB"/>
              </w:rPr>
            </w:pPr>
            <w:r>
              <w:rPr>
                <w:rFonts w:ascii="Arial" w:eastAsia="Times New Roman" w:hAnsi="Arial" w:cs="Arial"/>
                <w:b/>
                <w:color w:val="000000" w:themeColor="text1"/>
                <w:kern w:val="36"/>
                <w:sz w:val="24"/>
                <w:lang w:eastAsia="en-GB"/>
              </w:rPr>
              <w:t>Mike Richmond</w:t>
            </w:r>
          </w:p>
        </w:tc>
        <w:tc>
          <w:tcPr>
            <w:tcW w:w="1843" w:type="dxa"/>
          </w:tcPr>
          <w:p w14:paraId="486F2EAD" w14:textId="668FAD3D" w:rsidR="002F3B16" w:rsidRDefault="00CE2E46" w:rsidP="002F55A3">
            <w:pPr>
              <w:spacing w:line="288" w:lineRule="auto"/>
              <w:jc w:val="center"/>
              <w:outlineLvl w:val="0"/>
              <w:rPr>
                <w:rFonts w:ascii="Arial" w:eastAsia="Times New Roman" w:hAnsi="Arial" w:cs="Arial"/>
                <w:b/>
                <w:color w:val="000000" w:themeColor="text1"/>
                <w:kern w:val="36"/>
                <w:sz w:val="24"/>
                <w:lang w:eastAsia="en-GB"/>
              </w:rPr>
            </w:pPr>
            <w:r>
              <w:rPr>
                <w:rFonts w:ascii="Arial" w:eastAsia="Times New Roman" w:hAnsi="Arial" w:cs="Arial"/>
                <w:b/>
                <w:color w:val="000000" w:themeColor="text1"/>
                <w:kern w:val="36"/>
                <w:sz w:val="24"/>
                <w:lang w:eastAsia="en-GB"/>
              </w:rPr>
              <w:t>Mike Richmond</w:t>
            </w:r>
          </w:p>
        </w:tc>
        <w:tc>
          <w:tcPr>
            <w:tcW w:w="3255" w:type="dxa"/>
          </w:tcPr>
          <w:p w14:paraId="6C5E8A65" w14:textId="5FB3CE3C" w:rsidR="002F3B16" w:rsidRDefault="00CE2E46" w:rsidP="002F55A3">
            <w:pPr>
              <w:spacing w:line="288" w:lineRule="auto"/>
              <w:jc w:val="center"/>
              <w:outlineLvl w:val="0"/>
              <w:rPr>
                <w:rFonts w:ascii="Arial" w:eastAsia="Times New Roman" w:hAnsi="Arial" w:cs="Arial"/>
                <w:b/>
                <w:color w:val="000000" w:themeColor="text1"/>
                <w:kern w:val="36"/>
                <w:sz w:val="24"/>
                <w:lang w:eastAsia="en-GB"/>
              </w:rPr>
            </w:pPr>
            <w:r>
              <w:rPr>
                <w:rFonts w:ascii="Arial" w:eastAsia="Times New Roman" w:hAnsi="Arial" w:cs="Arial"/>
                <w:b/>
                <w:color w:val="000000" w:themeColor="text1"/>
                <w:kern w:val="36"/>
                <w:sz w:val="24"/>
                <w:lang w:eastAsia="en-GB"/>
              </w:rPr>
              <w:t>Minor changes for clarity</w:t>
            </w:r>
          </w:p>
        </w:tc>
      </w:tr>
      <w:tr w:rsidR="002F3B16" w14:paraId="56961621" w14:textId="77777777" w:rsidTr="002F3B16">
        <w:tc>
          <w:tcPr>
            <w:tcW w:w="1696" w:type="dxa"/>
          </w:tcPr>
          <w:p w14:paraId="79B81520" w14:textId="15CA6966" w:rsidR="002F3B16" w:rsidRDefault="002424DE" w:rsidP="002F55A3">
            <w:pPr>
              <w:spacing w:line="288" w:lineRule="auto"/>
              <w:jc w:val="center"/>
              <w:outlineLvl w:val="0"/>
              <w:rPr>
                <w:rFonts w:ascii="Arial" w:eastAsia="Times New Roman" w:hAnsi="Arial" w:cs="Arial"/>
                <w:b/>
                <w:color w:val="000000" w:themeColor="text1"/>
                <w:kern w:val="36"/>
                <w:sz w:val="24"/>
                <w:lang w:eastAsia="en-GB"/>
              </w:rPr>
            </w:pPr>
            <w:r>
              <w:rPr>
                <w:rFonts w:ascii="Arial" w:eastAsia="Times New Roman" w:hAnsi="Arial" w:cs="Arial"/>
                <w:b/>
                <w:color w:val="000000" w:themeColor="text1"/>
                <w:kern w:val="36"/>
                <w:sz w:val="24"/>
                <w:lang w:eastAsia="en-GB"/>
              </w:rPr>
              <w:t>2.2</w:t>
            </w:r>
          </w:p>
        </w:tc>
        <w:tc>
          <w:tcPr>
            <w:tcW w:w="1701" w:type="dxa"/>
          </w:tcPr>
          <w:p w14:paraId="260F6005" w14:textId="3B9ADB4C" w:rsidR="002F3B16" w:rsidRDefault="002424DE" w:rsidP="002F55A3">
            <w:pPr>
              <w:spacing w:line="288" w:lineRule="auto"/>
              <w:jc w:val="center"/>
              <w:outlineLvl w:val="0"/>
              <w:rPr>
                <w:rFonts w:ascii="Arial" w:eastAsia="Times New Roman" w:hAnsi="Arial" w:cs="Arial"/>
                <w:b/>
                <w:color w:val="000000" w:themeColor="text1"/>
                <w:kern w:val="36"/>
                <w:sz w:val="24"/>
                <w:lang w:eastAsia="en-GB"/>
              </w:rPr>
            </w:pPr>
            <w:r>
              <w:rPr>
                <w:rFonts w:ascii="Arial" w:eastAsia="Times New Roman" w:hAnsi="Arial" w:cs="Arial"/>
                <w:b/>
                <w:color w:val="000000" w:themeColor="text1"/>
                <w:kern w:val="36"/>
                <w:sz w:val="24"/>
                <w:lang w:eastAsia="en-GB"/>
              </w:rPr>
              <w:t>3/4/2025</w:t>
            </w:r>
          </w:p>
        </w:tc>
        <w:tc>
          <w:tcPr>
            <w:tcW w:w="1985" w:type="dxa"/>
          </w:tcPr>
          <w:p w14:paraId="36E35FE2" w14:textId="6F43777E" w:rsidR="002F3B16" w:rsidRDefault="002424DE" w:rsidP="002F55A3">
            <w:pPr>
              <w:spacing w:line="288" w:lineRule="auto"/>
              <w:jc w:val="center"/>
              <w:outlineLvl w:val="0"/>
              <w:rPr>
                <w:rFonts w:ascii="Arial" w:eastAsia="Times New Roman" w:hAnsi="Arial" w:cs="Arial"/>
                <w:b/>
                <w:color w:val="000000" w:themeColor="text1"/>
                <w:kern w:val="36"/>
                <w:sz w:val="24"/>
                <w:lang w:eastAsia="en-GB"/>
              </w:rPr>
            </w:pPr>
            <w:r>
              <w:rPr>
                <w:rFonts w:ascii="Arial" w:eastAsia="Times New Roman" w:hAnsi="Arial" w:cs="Arial"/>
                <w:b/>
                <w:color w:val="000000" w:themeColor="text1"/>
                <w:kern w:val="36"/>
                <w:sz w:val="24"/>
                <w:lang w:eastAsia="en-GB"/>
              </w:rPr>
              <w:t>Mike Richmond</w:t>
            </w:r>
          </w:p>
        </w:tc>
        <w:tc>
          <w:tcPr>
            <w:tcW w:w="1843" w:type="dxa"/>
          </w:tcPr>
          <w:p w14:paraId="4BE22031" w14:textId="471E2FC7" w:rsidR="002F3B16" w:rsidRDefault="002424DE" w:rsidP="002F55A3">
            <w:pPr>
              <w:spacing w:line="288" w:lineRule="auto"/>
              <w:jc w:val="center"/>
              <w:outlineLvl w:val="0"/>
              <w:rPr>
                <w:rFonts w:ascii="Arial" w:eastAsia="Times New Roman" w:hAnsi="Arial" w:cs="Arial"/>
                <w:b/>
                <w:color w:val="000000" w:themeColor="text1"/>
                <w:kern w:val="36"/>
                <w:sz w:val="24"/>
                <w:lang w:eastAsia="en-GB"/>
              </w:rPr>
            </w:pPr>
            <w:r>
              <w:rPr>
                <w:rFonts w:ascii="Arial" w:eastAsia="Times New Roman" w:hAnsi="Arial" w:cs="Arial"/>
                <w:b/>
                <w:color w:val="000000" w:themeColor="text1"/>
                <w:kern w:val="36"/>
                <w:sz w:val="24"/>
                <w:lang w:eastAsia="en-GB"/>
              </w:rPr>
              <w:t>Mike Richmond</w:t>
            </w:r>
          </w:p>
        </w:tc>
        <w:tc>
          <w:tcPr>
            <w:tcW w:w="3255" w:type="dxa"/>
          </w:tcPr>
          <w:p w14:paraId="3CF9CF64" w14:textId="6459E794" w:rsidR="002F3B16" w:rsidRDefault="002424DE" w:rsidP="002F55A3">
            <w:pPr>
              <w:spacing w:line="288" w:lineRule="auto"/>
              <w:jc w:val="center"/>
              <w:outlineLvl w:val="0"/>
              <w:rPr>
                <w:rFonts w:ascii="Arial" w:eastAsia="Times New Roman" w:hAnsi="Arial" w:cs="Arial"/>
                <w:b/>
                <w:color w:val="000000" w:themeColor="text1"/>
                <w:kern w:val="36"/>
                <w:sz w:val="24"/>
                <w:lang w:eastAsia="en-GB"/>
              </w:rPr>
            </w:pPr>
            <w:r>
              <w:rPr>
                <w:rFonts w:ascii="Arial" w:eastAsia="Times New Roman" w:hAnsi="Arial" w:cs="Arial"/>
                <w:b/>
                <w:color w:val="000000" w:themeColor="text1"/>
                <w:kern w:val="36"/>
                <w:sz w:val="24"/>
                <w:lang w:eastAsia="en-GB"/>
              </w:rPr>
              <w:t>Added section for contracted Data processors</w:t>
            </w:r>
          </w:p>
        </w:tc>
      </w:tr>
      <w:tr w:rsidR="0045131F" w14:paraId="74EF9BD2" w14:textId="77777777" w:rsidTr="002F3B16">
        <w:tc>
          <w:tcPr>
            <w:tcW w:w="1696" w:type="dxa"/>
          </w:tcPr>
          <w:p w14:paraId="2C18A3AF" w14:textId="5FC9433E" w:rsidR="0045131F" w:rsidRDefault="0045131F" w:rsidP="002F55A3">
            <w:pPr>
              <w:spacing w:line="288" w:lineRule="auto"/>
              <w:jc w:val="center"/>
              <w:outlineLvl w:val="0"/>
              <w:rPr>
                <w:rFonts w:ascii="Arial" w:eastAsia="Times New Roman" w:hAnsi="Arial" w:cs="Arial"/>
                <w:b/>
                <w:color w:val="000000" w:themeColor="text1"/>
                <w:kern w:val="36"/>
                <w:sz w:val="24"/>
                <w:lang w:eastAsia="en-GB"/>
              </w:rPr>
            </w:pPr>
            <w:r>
              <w:rPr>
                <w:rFonts w:ascii="Arial" w:eastAsia="Times New Roman" w:hAnsi="Arial" w:cs="Arial"/>
                <w:b/>
                <w:color w:val="000000" w:themeColor="text1"/>
                <w:kern w:val="36"/>
                <w:sz w:val="24"/>
                <w:lang w:eastAsia="en-GB"/>
              </w:rPr>
              <w:t>2.2</w:t>
            </w:r>
          </w:p>
        </w:tc>
        <w:tc>
          <w:tcPr>
            <w:tcW w:w="1701" w:type="dxa"/>
          </w:tcPr>
          <w:p w14:paraId="484C36A2" w14:textId="311FD3BE" w:rsidR="0045131F" w:rsidRDefault="0045131F" w:rsidP="002F55A3">
            <w:pPr>
              <w:spacing w:line="288" w:lineRule="auto"/>
              <w:jc w:val="center"/>
              <w:outlineLvl w:val="0"/>
              <w:rPr>
                <w:rFonts w:ascii="Arial" w:eastAsia="Times New Roman" w:hAnsi="Arial" w:cs="Arial"/>
                <w:b/>
                <w:color w:val="000000" w:themeColor="text1"/>
                <w:kern w:val="36"/>
                <w:sz w:val="24"/>
                <w:lang w:eastAsia="en-GB"/>
              </w:rPr>
            </w:pPr>
            <w:r>
              <w:rPr>
                <w:rFonts w:ascii="Arial" w:eastAsia="Times New Roman" w:hAnsi="Arial" w:cs="Arial"/>
                <w:b/>
                <w:color w:val="000000" w:themeColor="text1"/>
                <w:kern w:val="36"/>
                <w:sz w:val="24"/>
                <w:lang w:eastAsia="en-GB"/>
              </w:rPr>
              <w:t>31/3/026</w:t>
            </w:r>
          </w:p>
        </w:tc>
        <w:tc>
          <w:tcPr>
            <w:tcW w:w="1985" w:type="dxa"/>
          </w:tcPr>
          <w:p w14:paraId="2ED8B853" w14:textId="4E3B9691" w:rsidR="0045131F" w:rsidRDefault="0045131F" w:rsidP="002F55A3">
            <w:pPr>
              <w:spacing w:line="288" w:lineRule="auto"/>
              <w:jc w:val="center"/>
              <w:outlineLvl w:val="0"/>
              <w:rPr>
                <w:rFonts w:ascii="Arial" w:eastAsia="Times New Roman" w:hAnsi="Arial" w:cs="Arial"/>
                <w:b/>
                <w:color w:val="000000" w:themeColor="text1"/>
                <w:kern w:val="36"/>
                <w:sz w:val="24"/>
                <w:lang w:eastAsia="en-GB"/>
              </w:rPr>
            </w:pPr>
            <w:r>
              <w:rPr>
                <w:rFonts w:ascii="Arial" w:eastAsia="Times New Roman" w:hAnsi="Arial" w:cs="Arial"/>
                <w:b/>
                <w:color w:val="000000" w:themeColor="text1"/>
                <w:kern w:val="36"/>
                <w:sz w:val="24"/>
                <w:lang w:eastAsia="en-GB"/>
              </w:rPr>
              <w:t>Mike Richmond</w:t>
            </w:r>
          </w:p>
        </w:tc>
        <w:tc>
          <w:tcPr>
            <w:tcW w:w="1843" w:type="dxa"/>
          </w:tcPr>
          <w:p w14:paraId="4B2408F7" w14:textId="486AA849" w:rsidR="0045131F" w:rsidRDefault="0045131F" w:rsidP="002F55A3">
            <w:pPr>
              <w:spacing w:line="288" w:lineRule="auto"/>
              <w:jc w:val="center"/>
              <w:outlineLvl w:val="0"/>
              <w:rPr>
                <w:rFonts w:ascii="Arial" w:eastAsia="Times New Roman" w:hAnsi="Arial" w:cs="Arial"/>
                <w:b/>
                <w:color w:val="000000" w:themeColor="text1"/>
                <w:kern w:val="36"/>
                <w:sz w:val="24"/>
                <w:lang w:eastAsia="en-GB"/>
              </w:rPr>
            </w:pPr>
            <w:r>
              <w:rPr>
                <w:rFonts w:ascii="Arial" w:eastAsia="Times New Roman" w:hAnsi="Arial" w:cs="Arial"/>
                <w:b/>
                <w:color w:val="000000" w:themeColor="text1"/>
                <w:kern w:val="36"/>
                <w:sz w:val="24"/>
                <w:lang w:eastAsia="en-GB"/>
              </w:rPr>
              <w:t>Mike Richmond</w:t>
            </w:r>
          </w:p>
        </w:tc>
        <w:tc>
          <w:tcPr>
            <w:tcW w:w="3255" w:type="dxa"/>
          </w:tcPr>
          <w:p w14:paraId="4078CA24" w14:textId="2C6DCA8C" w:rsidR="0045131F" w:rsidRDefault="0045131F" w:rsidP="002F55A3">
            <w:pPr>
              <w:spacing w:line="288" w:lineRule="auto"/>
              <w:jc w:val="center"/>
              <w:outlineLvl w:val="0"/>
              <w:rPr>
                <w:rFonts w:ascii="Arial" w:eastAsia="Times New Roman" w:hAnsi="Arial" w:cs="Arial"/>
                <w:b/>
                <w:color w:val="000000" w:themeColor="text1"/>
                <w:kern w:val="36"/>
                <w:sz w:val="24"/>
                <w:lang w:eastAsia="en-GB"/>
              </w:rPr>
            </w:pPr>
            <w:r>
              <w:rPr>
                <w:rFonts w:ascii="Arial" w:eastAsia="Times New Roman" w:hAnsi="Arial" w:cs="Arial"/>
                <w:b/>
                <w:color w:val="000000" w:themeColor="text1"/>
                <w:kern w:val="36"/>
                <w:sz w:val="24"/>
                <w:lang w:eastAsia="en-GB"/>
              </w:rPr>
              <w:t>Annual review, no changes</w:t>
            </w:r>
          </w:p>
        </w:tc>
      </w:tr>
    </w:tbl>
    <w:p w14:paraId="57CC75DD" w14:textId="77777777" w:rsidR="002F3B16" w:rsidRDefault="002F3B16" w:rsidP="00A45C13">
      <w:pPr>
        <w:pStyle w:val="NormalWeb"/>
        <w:spacing w:before="0" w:beforeAutospacing="0" w:after="0" w:afterAutospacing="0" w:line="288" w:lineRule="auto"/>
        <w:textAlignment w:val="baseline"/>
        <w:rPr>
          <w:rFonts w:ascii="Arial" w:hAnsi="Arial" w:cs="Arial"/>
          <w:b/>
          <w:color w:val="000000" w:themeColor="text1"/>
        </w:rPr>
      </w:pPr>
    </w:p>
    <w:p w14:paraId="6CF10BA8" w14:textId="77777777" w:rsidR="003C60B3" w:rsidRDefault="003C60B3" w:rsidP="00A45C13">
      <w:pPr>
        <w:pStyle w:val="NormalWeb"/>
        <w:spacing w:before="0" w:beforeAutospacing="0" w:after="0" w:afterAutospacing="0" w:line="288" w:lineRule="auto"/>
        <w:textAlignment w:val="baseline"/>
        <w:rPr>
          <w:rFonts w:ascii="Arial" w:hAnsi="Arial" w:cs="Arial"/>
          <w:b/>
          <w:color w:val="000000" w:themeColor="text1"/>
        </w:rPr>
      </w:pPr>
    </w:p>
    <w:p w14:paraId="0708AB2C" w14:textId="77777777" w:rsidR="003C60B3" w:rsidRPr="00C507F9" w:rsidRDefault="003C60B3" w:rsidP="003C60B3">
      <w:pPr>
        <w:pStyle w:val="Default"/>
        <w:jc w:val="center"/>
        <w:rPr>
          <w:sz w:val="28"/>
          <w:szCs w:val="28"/>
        </w:rPr>
      </w:pPr>
    </w:p>
    <w:p w14:paraId="6C004C22" w14:textId="77777777" w:rsidR="000F2193" w:rsidRDefault="000F2193">
      <w:pPr>
        <w:rPr>
          <w:rFonts w:ascii="Arial" w:hAnsi="Arial" w:cs="Arial"/>
          <w:color w:val="000000"/>
          <w:sz w:val="24"/>
          <w:szCs w:val="24"/>
        </w:rPr>
      </w:pPr>
      <w:r>
        <w:br w:type="page"/>
      </w:r>
    </w:p>
    <w:p w14:paraId="729B6A4F" w14:textId="0BD1002C" w:rsidR="003C60B3" w:rsidRDefault="003C60B3" w:rsidP="003C60B3">
      <w:pPr>
        <w:pStyle w:val="Default"/>
        <w:jc w:val="both"/>
      </w:pPr>
      <w:r w:rsidRPr="00C507F9">
        <w:lastRenderedPageBreak/>
        <w:t xml:space="preserve">The </w:t>
      </w:r>
      <w:r>
        <w:t>OPCC</w:t>
      </w:r>
      <w:r w:rsidRPr="00C507F9">
        <w:t xml:space="preserve"> undertakes to handle information it holds about indivi</w:t>
      </w:r>
      <w:r>
        <w:t>duals in the appropriate manner. P</w:t>
      </w:r>
      <w:r w:rsidRPr="00C507F9">
        <w:t xml:space="preserve">rocedures for the handling of such information </w:t>
      </w:r>
      <w:r>
        <w:t xml:space="preserve">will be compliant with the </w:t>
      </w:r>
      <w:r w:rsidR="000F2193">
        <w:t xml:space="preserve">UK-GDPR and the </w:t>
      </w:r>
      <w:r>
        <w:t xml:space="preserve">Data Protection Act 2018. </w:t>
      </w:r>
    </w:p>
    <w:p w14:paraId="4F4A42CC" w14:textId="77777777" w:rsidR="003C60B3" w:rsidRDefault="003C60B3" w:rsidP="003C60B3">
      <w:pPr>
        <w:pStyle w:val="Default"/>
        <w:jc w:val="both"/>
      </w:pPr>
    </w:p>
    <w:p w14:paraId="6EF16DBD" w14:textId="77777777" w:rsidR="003C60B3" w:rsidRPr="00C507F9" w:rsidRDefault="003C60B3" w:rsidP="003C60B3">
      <w:pPr>
        <w:pStyle w:val="Default"/>
        <w:jc w:val="both"/>
      </w:pPr>
      <w:r>
        <w:t>Personal information will be</w:t>
      </w:r>
      <w:r w:rsidRPr="00C507F9">
        <w:t xml:space="preserve">: </w:t>
      </w:r>
    </w:p>
    <w:p w14:paraId="3F0BDF80" w14:textId="77777777" w:rsidR="003C60B3" w:rsidRDefault="003C60B3" w:rsidP="003C60B3">
      <w:pPr>
        <w:pStyle w:val="Default"/>
        <w:ind w:left="360" w:hanging="360"/>
        <w:jc w:val="both"/>
      </w:pPr>
    </w:p>
    <w:p w14:paraId="458A0472" w14:textId="77777777" w:rsidR="003C60B3" w:rsidRPr="005A7133" w:rsidRDefault="003C60B3" w:rsidP="003C60B3">
      <w:pPr>
        <w:pStyle w:val="Default"/>
        <w:numPr>
          <w:ilvl w:val="0"/>
          <w:numId w:val="17"/>
        </w:numPr>
        <w:jc w:val="both"/>
      </w:pPr>
      <w:r w:rsidRPr="005A7133">
        <w:t>used fairly, lawfully and transparently</w:t>
      </w:r>
    </w:p>
    <w:p w14:paraId="5AD9662D" w14:textId="77777777" w:rsidR="003C60B3" w:rsidRPr="005A7133" w:rsidRDefault="003C60B3" w:rsidP="003C60B3">
      <w:pPr>
        <w:pStyle w:val="Default"/>
        <w:numPr>
          <w:ilvl w:val="0"/>
          <w:numId w:val="17"/>
        </w:numPr>
        <w:jc w:val="both"/>
      </w:pPr>
      <w:r w:rsidRPr="005A7133">
        <w:t>used for specified, explicit purposes</w:t>
      </w:r>
    </w:p>
    <w:p w14:paraId="6131A13D" w14:textId="77777777" w:rsidR="003C60B3" w:rsidRPr="005A7133" w:rsidRDefault="003C60B3" w:rsidP="003C60B3">
      <w:pPr>
        <w:pStyle w:val="Default"/>
        <w:numPr>
          <w:ilvl w:val="0"/>
          <w:numId w:val="17"/>
        </w:numPr>
        <w:jc w:val="both"/>
      </w:pPr>
      <w:r w:rsidRPr="005A7133">
        <w:t>used in a way that is adequate, relevant and limited to only what is necessary</w:t>
      </w:r>
    </w:p>
    <w:p w14:paraId="480399A5" w14:textId="77777777" w:rsidR="003C60B3" w:rsidRPr="005A7133" w:rsidRDefault="003C60B3" w:rsidP="003C60B3">
      <w:pPr>
        <w:pStyle w:val="Default"/>
        <w:numPr>
          <w:ilvl w:val="0"/>
          <w:numId w:val="17"/>
        </w:numPr>
        <w:jc w:val="both"/>
      </w:pPr>
      <w:r w:rsidRPr="005A7133">
        <w:t>accurate and, where necessary, kept up to date</w:t>
      </w:r>
    </w:p>
    <w:p w14:paraId="4D2A2BC7" w14:textId="77777777" w:rsidR="003C60B3" w:rsidRPr="005A7133" w:rsidRDefault="003C60B3" w:rsidP="003C60B3">
      <w:pPr>
        <w:pStyle w:val="Default"/>
        <w:numPr>
          <w:ilvl w:val="0"/>
          <w:numId w:val="17"/>
        </w:numPr>
        <w:jc w:val="both"/>
      </w:pPr>
      <w:r w:rsidRPr="005A7133">
        <w:t>kept for no longer than is necessary</w:t>
      </w:r>
    </w:p>
    <w:p w14:paraId="65DE4D27" w14:textId="77777777" w:rsidR="003C60B3" w:rsidRPr="005A7133" w:rsidRDefault="003C60B3" w:rsidP="003C60B3">
      <w:pPr>
        <w:pStyle w:val="Default"/>
        <w:numPr>
          <w:ilvl w:val="0"/>
          <w:numId w:val="17"/>
        </w:numPr>
        <w:jc w:val="both"/>
      </w:pPr>
      <w:r w:rsidRPr="005A7133">
        <w:t>handled in a way that ensures appropriate security, including protection against unlawful or unauthorised processing, access, loss, destruction or damage</w:t>
      </w:r>
    </w:p>
    <w:p w14:paraId="1C42C589" w14:textId="77777777" w:rsidR="003C60B3" w:rsidRPr="00C507F9" w:rsidRDefault="003C60B3" w:rsidP="003C60B3">
      <w:pPr>
        <w:pStyle w:val="Default"/>
        <w:jc w:val="both"/>
      </w:pPr>
    </w:p>
    <w:p w14:paraId="48A0CF9E" w14:textId="77777777" w:rsidR="003C60B3" w:rsidRDefault="003C60B3" w:rsidP="003C60B3">
      <w:pPr>
        <w:pStyle w:val="Default"/>
        <w:jc w:val="both"/>
      </w:pPr>
      <w:r w:rsidRPr="00C507F9">
        <w:t xml:space="preserve">The Data Protection Act does not guarantee personal privacy at all costs, but aims to strike a balance between the rights of individuals and the competing interests of those with legitimate reasons for using personal information. </w:t>
      </w:r>
    </w:p>
    <w:p w14:paraId="5C49B8BD" w14:textId="77777777" w:rsidR="003C60B3" w:rsidRPr="00C507F9" w:rsidRDefault="003C60B3" w:rsidP="003C60B3">
      <w:pPr>
        <w:pStyle w:val="Default"/>
        <w:jc w:val="both"/>
      </w:pPr>
    </w:p>
    <w:p w14:paraId="13410A6C" w14:textId="77777777" w:rsidR="003C60B3" w:rsidRPr="00C507F9" w:rsidRDefault="003C60B3" w:rsidP="003C60B3">
      <w:pPr>
        <w:pStyle w:val="Default"/>
        <w:jc w:val="both"/>
      </w:pPr>
      <w:r>
        <w:t>We will make sure that:</w:t>
      </w:r>
    </w:p>
    <w:p w14:paraId="413989F5" w14:textId="77777777" w:rsidR="003C60B3" w:rsidRPr="00C507F9" w:rsidRDefault="003C60B3" w:rsidP="003C60B3">
      <w:pPr>
        <w:pStyle w:val="Default"/>
        <w:numPr>
          <w:ilvl w:val="0"/>
          <w:numId w:val="17"/>
        </w:numPr>
        <w:jc w:val="both"/>
      </w:pPr>
      <w:r w:rsidRPr="00C507F9">
        <w:t xml:space="preserve">Information about individuals is only </w:t>
      </w:r>
      <w:r>
        <w:t>processed</w:t>
      </w:r>
      <w:r w:rsidRPr="00C507F9">
        <w:t xml:space="preserve"> </w:t>
      </w:r>
      <w:r>
        <w:t xml:space="preserve">or shared </w:t>
      </w:r>
      <w:r w:rsidRPr="00C507F9">
        <w:t xml:space="preserve">for </w:t>
      </w:r>
      <w:r>
        <w:t xml:space="preserve">a business reason with a lawful purpose; </w:t>
      </w:r>
    </w:p>
    <w:p w14:paraId="576E42BC" w14:textId="77777777" w:rsidR="003C60B3" w:rsidRPr="00C507F9" w:rsidRDefault="003C60B3" w:rsidP="003C60B3">
      <w:pPr>
        <w:pStyle w:val="Default"/>
        <w:numPr>
          <w:ilvl w:val="0"/>
          <w:numId w:val="17"/>
        </w:numPr>
        <w:jc w:val="both"/>
      </w:pPr>
      <w:r w:rsidRPr="00C507F9">
        <w:t xml:space="preserve">Information is </w:t>
      </w:r>
      <w:r>
        <w:t>stored</w:t>
      </w:r>
      <w:r w:rsidRPr="00C507F9">
        <w:t xml:space="preserve"> securely and is only accessed by </w:t>
      </w:r>
      <w:r>
        <w:t>authorised</w:t>
      </w:r>
      <w:r w:rsidRPr="00C507F9">
        <w:t xml:space="preserve"> staff; </w:t>
      </w:r>
    </w:p>
    <w:p w14:paraId="3C03121F" w14:textId="77777777" w:rsidR="003C60B3" w:rsidRPr="00C507F9" w:rsidRDefault="003C60B3" w:rsidP="003C60B3">
      <w:pPr>
        <w:pStyle w:val="Default"/>
        <w:numPr>
          <w:ilvl w:val="0"/>
          <w:numId w:val="17"/>
        </w:numPr>
        <w:jc w:val="both"/>
      </w:pPr>
      <w:r w:rsidRPr="00C507F9">
        <w:t xml:space="preserve">Personal information is accurate and up to date; </w:t>
      </w:r>
    </w:p>
    <w:p w14:paraId="5CDAF159" w14:textId="77777777" w:rsidR="003C60B3" w:rsidRPr="00C507F9" w:rsidRDefault="003C60B3" w:rsidP="003C60B3">
      <w:pPr>
        <w:pStyle w:val="Default"/>
        <w:numPr>
          <w:ilvl w:val="0"/>
          <w:numId w:val="17"/>
        </w:numPr>
        <w:jc w:val="both"/>
      </w:pPr>
      <w:r w:rsidRPr="00C507F9">
        <w:t xml:space="preserve">Information is destroyed </w:t>
      </w:r>
      <w:r>
        <w:t>once</w:t>
      </w:r>
      <w:r w:rsidRPr="00C507F9">
        <w:t xml:space="preserve"> there is no further need for it; </w:t>
      </w:r>
    </w:p>
    <w:p w14:paraId="5669C51D" w14:textId="77777777" w:rsidR="003C60B3" w:rsidRPr="00C507F9" w:rsidRDefault="003C60B3" w:rsidP="003C60B3">
      <w:pPr>
        <w:pStyle w:val="Default"/>
        <w:numPr>
          <w:ilvl w:val="0"/>
          <w:numId w:val="17"/>
        </w:numPr>
        <w:jc w:val="both"/>
      </w:pPr>
      <w:r w:rsidRPr="00C507F9">
        <w:t>Staff are trained in their duties and responsibilities under the Data Protection Act</w:t>
      </w:r>
    </w:p>
    <w:p w14:paraId="32BBC4F3" w14:textId="14E2F02E" w:rsidR="003C60B3" w:rsidRDefault="003C60B3" w:rsidP="003C60B3">
      <w:pPr>
        <w:pStyle w:val="Default"/>
        <w:numPr>
          <w:ilvl w:val="0"/>
          <w:numId w:val="17"/>
        </w:numPr>
        <w:jc w:val="both"/>
      </w:pPr>
      <w:r>
        <w:t xml:space="preserve">The OPCC’s notification (ref: </w:t>
      </w:r>
      <w:r w:rsidR="00CE2E46" w:rsidRPr="00CE2E46">
        <w:t>ZB373325</w:t>
      </w:r>
      <w:r w:rsidRPr="00C507F9">
        <w:t xml:space="preserve">) to the Information Commissioner is up to date and reviewed annually. </w:t>
      </w:r>
    </w:p>
    <w:p w14:paraId="76592749" w14:textId="77777777" w:rsidR="003C60B3" w:rsidRPr="003C60B3" w:rsidRDefault="003C60B3" w:rsidP="000F2193">
      <w:pPr>
        <w:pStyle w:val="Heading1"/>
      </w:pPr>
    </w:p>
    <w:p w14:paraId="6FDB6269" w14:textId="77777777" w:rsidR="00675F6C" w:rsidRDefault="00675F6C">
      <w:pPr>
        <w:rPr>
          <w:rFonts w:ascii="Arial" w:eastAsia="Times New Roman" w:hAnsi="Arial" w:cs="Times New Roman"/>
          <w:b/>
          <w:sz w:val="28"/>
          <w:szCs w:val="20"/>
          <w:lang w:eastAsia="en-GB"/>
        </w:rPr>
      </w:pPr>
      <w:r>
        <w:rPr>
          <w:sz w:val="28"/>
        </w:rPr>
        <w:br w:type="page"/>
      </w:r>
    </w:p>
    <w:p w14:paraId="2E8FCEB5" w14:textId="15977E77" w:rsidR="000F2193" w:rsidRDefault="000F2193" w:rsidP="000F2193">
      <w:pPr>
        <w:pStyle w:val="Heading1"/>
        <w:rPr>
          <w:sz w:val="28"/>
        </w:rPr>
      </w:pPr>
      <w:r>
        <w:rPr>
          <w:sz w:val="28"/>
        </w:rPr>
        <w:lastRenderedPageBreak/>
        <w:t>Roles and Responsibilities</w:t>
      </w:r>
    </w:p>
    <w:p w14:paraId="675B2EDE" w14:textId="77777777" w:rsidR="000F2193" w:rsidRDefault="000F2193" w:rsidP="000F2193">
      <w:pPr>
        <w:pStyle w:val="Heading1"/>
      </w:pPr>
      <w:r>
        <w:t>Senior Information Risk Owner (SIRO)</w:t>
      </w:r>
    </w:p>
    <w:p w14:paraId="12607A97" w14:textId="77777777" w:rsidR="000F2193" w:rsidRDefault="000F2193">
      <w:pPr>
        <w:rPr>
          <w:sz w:val="28"/>
        </w:rPr>
      </w:pPr>
      <w:r>
        <w:rPr>
          <w:sz w:val="28"/>
        </w:rPr>
        <w:t>The Chief Executive Officer of the OPCC is the organisation’s SIRO.</w:t>
      </w:r>
    </w:p>
    <w:p w14:paraId="1BD1D13E" w14:textId="77777777" w:rsidR="00675F6C" w:rsidRPr="004D748E" w:rsidRDefault="00675F6C" w:rsidP="00675F6C">
      <w:pPr>
        <w:pStyle w:val="Default"/>
        <w:numPr>
          <w:ilvl w:val="0"/>
          <w:numId w:val="22"/>
        </w:numPr>
        <w:spacing w:after="120" w:line="276" w:lineRule="auto"/>
      </w:pPr>
      <w:r w:rsidRPr="004D748E">
        <w:t xml:space="preserve">The SIRO’s role is to ensure information assets and risks within the organisation are </w:t>
      </w:r>
      <w:r w:rsidRPr="004D748E">
        <w:rPr>
          <w:b/>
          <w:bCs/>
        </w:rPr>
        <w:t xml:space="preserve">managed as a business process </w:t>
      </w:r>
      <w:r w:rsidRPr="004D748E">
        <w:t>rather than as a technical issue.</w:t>
      </w:r>
    </w:p>
    <w:p w14:paraId="65E4985B" w14:textId="77777777" w:rsidR="00675F6C" w:rsidRDefault="00675F6C" w:rsidP="00675F6C">
      <w:pPr>
        <w:pStyle w:val="Default"/>
        <w:numPr>
          <w:ilvl w:val="0"/>
          <w:numId w:val="22"/>
        </w:numPr>
        <w:spacing w:after="120" w:line="276" w:lineRule="auto"/>
      </w:pPr>
      <w:r w:rsidRPr="004D748E">
        <w:t xml:space="preserve">The SIRO should be a champion of governance and must ensure there are </w:t>
      </w:r>
      <w:r w:rsidRPr="004D748E">
        <w:rPr>
          <w:b/>
          <w:bCs/>
        </w:rPr>
        <w:t xml:space="preserve">consistent and repeatable approaches </w:t>
      </w:r>
      <w:r w:rsidRPr="004D748E">
        <w:t>to managing risk at all levels of the organisation.</w:t>
      </w:r>
    </w:p>
    <w:p w14:paraId="0DB5D352" w14:textId="77777777" w:rsidR="00675F6C" w:rsidRPr="00217FC6" w:rsidRDefault="00675F6C" w:rsidP="00675F6C">
      <w:pPr>
        <w:pStyle w:val="Default"/>
        <w:numPr>
          <w:ilvl w:val="0"/>
          <w:numId w:val="22"/>
        </w:numPr>
        <w:spacing w:after="120" w:line="276" w:lineRule="auto"/>
        <w:rPr>
          <w:b/>
          <w:bCs/>
        </w:rPr>
      </w:pPr>
      <w:r w:rsidRPr="00217FC6">
        <w:t>The SIRO mus</w:t>
      </w:r>
      <w:r>
        <w:t>t</w:t>
      </w:r>
      <w:r w:rsidRPr="00217FC6">
        <w:rPr>
          <w:b/>
          <w:bCs/>
        </w:rPr>
        <w:t xml:space="preserve"> own the organisation’s overall information management policy and risks and ensure they are implemented / mitigated consistently.   </w:t>
      </w:r>
    </w:p>
    <w:p w14:paraId="3F3E0AFE" w14:textId="77777777" w:rsidR="00675F6C" w:rsidRDefault="00675F6C" w:rsidP="00675F6C">
      <w:pPr>
        <w:rPr>
          <w:rFonts w:ascii="Arial" w:hAnsi="Arial" w:cs="Arial"/>
          <w:b/>
          <w:bCs/>
          <w:sz w:val="24"/>
          <w:szCs w:val="24"/>
        </w:rPr>
      </w:pPr>
      <w:r w:rsidRPr="00CE7997">
        <w:rPr>
          <w:rFonts w:ascii="Arial" w:hAnsi="Arial" w:cs="Arial"/>
          <w:b/>
          <w:bCs/>
          <w:sz w:val="24"/>
          <w:szCs w:val="24"/>
        </w:rPr>
        <w:t xml:space="preserve">Responsibilities:   </w:t>
      </w:r>
    </w:p>
    <w:p w14:paraId="4A3881FF" w14:textId="0F4E1CE8" w:rsidR="00675F6C" w:rsidRDefault="00675F6C" w:rsidP="00675F6C">
      <w:pPr>
        <w:rPr>
          <w:rFonts w:ascii="Arial" w:hAnsi="Arial" w:cs="Arial"/>
          <w:sz w:val="24"/>
          <w:szCs w:val="24"/>
        </w:rPr>
      </w:pPr>
      <w:r>
        <w:rPr>
          <w:rFonts w:ascii="Arial" w:hAnsi="Arial" w:cs="Arial"/>
          <w:sz w:val="24"/>
          <w:szCs w:val="24"/>
        </w:rPr>
        <w:t>The SIRO is responsible for:</w:t>
      </w:r>
    </w:p>
    <w:p w14:paraId="74DFF7AA" w14:textId="77777777" w:rsidR="00675F6C" w:rsidRPr="000A3687" w:rsidRDefault="00675F6C" w:rsidP="00675F6C">
      <w:pPr>
        <w:pStyle w:val="ListParagraph"/>
        <w:numPr>
          <w:ilvl w:val="0"/>
          <w:numId w:val="24"/>
        </w:numPr>
        <w:spacing w:after="120" w:line="276" w:lineRule="auto"/>
        <w:rPr>
          <w:rFonts w:ascii="Arial" w:hAnsi="Arial" w:cs="Arial"/>
          <w:sz w:val="24"/>
          <w:szCs w:val="24"/>
        </w:rPr>
      </w:pPr>
      <w:r w:rsidRPr="000A3687">
        <w:rPr>
          <w:rFonts w:ascii="Arial" w:hAnsi="Arial" w:cs="Arial"/>
          <w:sz w:val="24"/>
          <w:szCs w:val="24"/>
        </w:rPr>
        <w:t>ensuring that the data protection legislation and policy is applied and maintained consistently throughout the organisation</w:t>
      </w:r>
    </w:p>
    <w:p w14:paraId="4F2D2167" w14:textId="77777777" w:rsidR="00675F6C" w:rsidRPr="004D748E" w:rsidRDefault="00675F6C" w:rsidP="00675F6C">
      <w:pPr>
        <w:pStyle w:val="ListParagraph"/>
        <w:numPr>
          <w:ilvl w:val="0"/>
          <w:numId w:val="23"/>
        </w:numPr>
        <w:spacing w:after="120" w:line="276" w:lineRule="auto"/>
        <w:ind w:left="1071" w:hanging="357"/>
        <w:rPr>
          <w:rFonts w:ascii="Arial" w:hAnsi="Arial" w:cs="Arial"/>
          <w:sz w:val="24"/>
          <w:szCs w:val="24"/>
        </w:rPr>
      </w:pPr>
      <w:r>
        <w:rPr>
          <w:rFonts w:ascii="Arial" w:hAnsi="Arial" w:cs="Arial"/>
          <w:sz w:val="24"/>
          <w:szCs w:val="24"/>
        </w:rPr>
        <w:t>owning and reviewing i</w:t>
      </w:r>
      <w:r w:rsidRPr="004D748E">
        <w:rPr>
          <w:rFonts w:ascii="Arial" w:hAnsi="Arial" w:cs="Arial"/>
          <w:sz w:val="24"/>
          <w:szCs w:val="24"/>
        </w:rPr>
        <w:t>nformation</w:t>
      </w:r>
      <w:r>
        <w:rPr>
          <w:rFonts w:ascii="Arial" w:hAnsi="Arial" w:cs="Arial"/>
          <w:sz w:val="24"/>
          <w:szCs w:val="24"/>
        </w:rPr>
        <w:t>-based risks</w:t>
      </w:r>
    </w:p>
    <w:p w14:paraId="116754F2" w14:textId="77777777" w:rsidR="00675F6C" w:rsidRPr="004D748E" w:rsidRDefault="00675F6C" w:rsidP="00675F6C">
      <w:pPr>
        <w:pStyle w:val="ListParagraph"/>
        <w:numPr>
          <w:ilvl w:val="0"/>
          <w:numId w:val="23"/>
        </w:numPr>
        <w:spacing w:after="120" w:line="276" w:lineRule="auto"/>
        <w:ind w:left="1071" w:hanging="357"/>
        <w:rPr>
          <w:rFonts w:ascii="Arial" w:hAnsi="Arial" w:cs="Arial"/>
          <w:sz w:val="24"/>
          <w:szCs w:val="24"/>
        </w:rPr>
      </w:pPr>
      <w:r w:rsidRPr="004D748E">
        <w:rPr>
          <w:rFonts w:ascii="Arial" w:hAnsi="Arial" w:cs="Arial"/>
          <w:sz w:val="24"/>
          <w:szCs w:val="24"/>
        </w:rPr>
        <w:t>ensur</w:t>
      </w:r>
      <w:r>
        <w:rPr>
          <w:rFonts w:ascii="Arial" w:hAnsi="Arial" w:cs="Arial"/>
          <w:sz w:val="24"/>
          <w:szCs w:val="24"/>
        </w:rPr>
        <w:t>ing</w:t>
      </w:r>
      <w:r w:rsidRPr="004D748E">
        <w:rPr>
          <w:rFonts w:ascii="Arial" w:hAnsi="Arial" w:cs="Arial"/>
          <w:sz w:val="24"/>
          <w:szCs w:val="24"/>
        </w:rPr>
        <w:t xml:space="preserve"> that D</w:t>
      </w:r>
      <w:r>
        <w:rPr>
          <w:rFonts w:ascii="Arial" w:hAnsi="Arial" w:cs="Arial"/>
          <w:sz w:val="24"/>
          <w:szCs w:val="24"/>
        </w:rPr>
        <w:t xml:space="preserve">PIAs </w:t>
      </w:r>
      <w:r w:rsidRPr="004D748E">
        <w:rPr>
          <w:rFonts w:ascii="Arial" w:hAnsi="Arial" w:cs="Arial"/>
          <w:sz w:val="24"/>
          <w:szCs w:val="24"/>
        </w:rPr>
        <w:t xml:space="preserve">are carried out on all new projects when required </w:t>
      </w:r>
    </w:p>
    <w:p w14:paraId="44328A4D" w14:textId="77777777" w:rsidR="00675F6C" w:rsidRPr="004D748E" w:rsidRDefault="00675F6C" w:rsidP="00675F6C">
      <w:pPr>
        <w:pStyle w:val="ListParagraph"/>
        <w:numPr>
          <w:ilvl w:val="0"/>
          <w:numId w:val="23"/>
        </w:numPr>
        <w:spacing w:after="120" w:line="276" w:lineRule="auto"/>
        <w:ind w:left="1140" w:hanging="426"/>
        <w:rPr>
          <w:rFonts w:ascii="Arial" w:hAnsi="Arial" w:cs="Arial"/>
          <w:sz w:val="24"/>
          <w:szCs w:val="24"/>
        </w:rPr>
      </w:pPr>
      <w:r w:rsidRPr="004D748E">
        <w:rPr>
          <w:rFonts w:ascii="Arial" w:hAnsi="Arial" w:cs="Arial"/>
          <w:sz w:val="24"/>
          <w:szCs w:val="24"/>
        </w:rPr>
        <w:t>understand</w:t>
      </w:r>
      <w:r>
        <w:rPr>
          <w:rFonts w:ascii="Arial" w:hAnsi="Arial" w:cs="Arial"/>
          <w:sz w:val="24"/>
          <w:szCs w:val="24"/>
        </w:rPr>
        <w:t>ing</w:t>
      </w:r>
      <w:r w:rsidRPr="004D748E">
        <w:rPr>
          <w:rFonts w:ascii="Arial" w:hAnsi="Arial" w:cs="Arial"/>
          <w:sz w:val="24"/>
          <w:szCs w:val="24"/>
        </w:rPr>
        <w:t xml:space="preserve"> the information risks faced by the organisation</w:t>
      </w:r>
      <w:r>
        <w:rPr>
          <w:rFonts w:ascii="Arial" w:hAnsi="Arial" w:cs="Arial"/>
          <w:sz w:val="24"/>
          <w:szCs w:val="24"/>
        </w:rPr>
        <w:t>,</w:t>
      </w:r>
      <w:r w:rsidRPr="004D748E">
        <w:rPr>
          <w:rFonts w:ascii="Arial" w:hAnsi="Arial" w:cs="Arial"/>
          <w:sz w:val="24"/>
          <w:szCs w:val="24"/>
        </w:rPr>
        <w:t xml:space="preserve"> its</w:t>
      </w:r>
      <w:r>
        <w:rPr>
          <w:rFonts w:ascii="Arial" w:hAnsi="Arial" w:cs="Arial"/>
          <w:sz w:val="24"/>
          <w:szCs w:val="24"/>
        </w:rPr>
        <w:t xml:space="preserve"> </w:t>
      </w:r>
      <w:r w:rsidRPr="004D748E">
        <w:rPr>
          <w:rFonts w:ascii="Arial" w:hAnsi="Arial" w:cs="Arial"/>
          <w:sz w:val="24"/>
          <w:szCs w:val="24"/>
        </w:rPr>
        <w:t>partners</w:t>
      </w:r>
      <w:r>
        <w:rPr>
          <w:rFonts w:ascii="Arial" w:hAnsi="Arial" w:cs="Arial"/>
          <w:sz w:val="24"/>
          <w:szCs w:val="24"/>
        </w:rPr>
        <w:t xml:space="preserve"> and commissioned services</w:t>
      </w:r>
      <w:r w:rsidRPr="004D748E">
        <w:rPr>
          <w:rFonts w:ascii="Arial" w:hAnsi="Arial" w:cs="Arial"/>
          <w:sz w:val="24"/>
          <w:szCs w:val="24"/>
        </w:rPr>
        <w:t xml:space="preserve"> ensuring that they are addressed, and that they inform </w:t>
      </w:r>
      <w:r>
        <w:rPr>
          <w:rFonts w:ascii="Arial" w:hAnsi="Arial" w:cs="Arial"/>
          <w:sz w:val="24"/>
          <w:szCs w:val="24"/>
        </w:rPr>
        <w:t>strategic priorities</w:t>
      </w:r>
      <w:r w:rsidRPr="004D748E">
        <w:rPr>
          <w:rFonts w:ascii="Arial" w:hAnsi="Arial" w:cs="Arial"/>
          <w:sz w:val="24"/>
          <w:szCs w:val="24"/>
        </w:rPr>
        <w:t xml:space="preserve">   </w:t>
      </w:r>
    </w:p>
    <w:p w14:paraId="61F08343" w14:textId="77777777" w:rsidR="00675F6C" w:rsidRPr="004D748E" w:rsidRDefault="00675F6C" w:rsidP="00675F6C">
      <w:pPr>
        <w:pStyle w:val="ListParagraph"/>
        <w:numPr>
          <w:ilvl w:val="0"/>
          <w:numId w:val="23"/>
        </w:numPr>
        <w:spacing w:after="120" w:line="276" w:lineRule="auto"/>
        <w:ind w:left="1140" w:hanging="426"/>
        <w:rPr>
          <w:rFonts w:ascii="Arial" w:hAnsi="Arial" w:cs="Arial"/>
          <w:sz w:val="24"/>
          <w:szCs w:val="24"/>
        </w:rPr>
      </w:pPr>
      <w:r w:rsidRPr="004D748E">
        <w:rPr>
          <w:rFonts w:ascii="Arial" w:hAnsi="Arial" w:cs="Arial"/>
          <w:sz w:val="24"/>
          <w:szCs w:val="24"/>
        </w:rPr>
        <w:t>ensur</w:t>
      </w:r>
      <w:r>
        <w:rPr>
          <w:rFonts w:ascii="Arial" w:hAnsi="Arial" w:cs="Arial"/>
          <w:sz w:val="24"/>
          <w:szCs w:val="24"/>
        </w:rPr>
        <w:t>ing</w:t>
      </w:r>
      <w:r w:rsidRPr="004D748E">
        <w:rPr>
          <w:rFonts w:ascii="Arial" w:hAnsi="Arial" w:cs="Arial"/>
          <w:sz w:val="24"/>
          <w:szCs w:val="24"/>
        </w:rPr>
        <w:t xml:space="preserve"> that information risk assessment and mitigating actions taken benefit from an adequate level of independent scrutiny </w:t>
      </w:r>
    </w:p>
    <w:p w14:paraId="62E892A1" w14:textId="77777777" w:rsidR="00675F6C" w:rsidRDefault="00675F6C" w:rsidP="000F2193">
      <w:pPr>
        <w:pStyle w:val="Heading1"/>
      </w:pPr>
    </w:p>
    <w:p w14:paraId="0B36B253" w14:textId="30A641DE" w:rsidR="000F2193" w:rsidRDefault="000F2193" w:rsidP="000F2193">
      <w:pPr>
        <w:pStyle w:val="Heading1"/>
      </w:pPr>
      <w:r>
        <w:t>Data Protection Officer (DPO)</w:t>
      </w:r>
    </w:p>
    <w:p w14:paraId="7A8F5B67" w14:textId="23B060FB" w:rsidR="000F2193" w:rsidRDefault="000F2193" w:rsidP="000F2193">
      <w:pPr>
        <w:rPr>
          <w:sz w:val="28"/>
        </w:rPr>
      </w:pPr>
      <w:r w:rsidRPr="000F2193">
        <w:rPr>
          <w:sz w:val="28"/>
        </w:rPr>
        <w:t>The DPO assists the SIRO to monitor internal compliance, inform and advise the organisation on data protection obligations, provide advice regarding Data Protection Impact Assessments (DPIAs) and act as a contact point for data subjects and</w:t>
      </w:r>
      <w:r>
        <w:rPr>
          <w:sz w:val="28"/>
        </w:rPr>
        <w:t xml:space="preserve"> the</w:t>
      </w:r>
      <w:r w:rsidRPr="000F2193">
        <w:rPr>
          <w:sz w:val="28"/>
        </w:rPr>
        <w:t xml:space="preserve"> ICO.</w:t>
      </w:r>
    </w:p>
    <w:p w14:paraId="0BF32DF4" w14:textId="77777777" w:rsidR="000F2193" w:rsidRDefault="000F2193" w:rsidP="000F2193">
      <w:pPr>
        <w:pStyle w:val="Heading1"/>
      </w:pPr>
    </w:p>
    <w:p w14:paraId="05237C72" w14:textId="1D7B3EA3" w:rsidR="000F2193" w:rsidRDefault="000F2193" w:rsidP="000F2193">
      <w:pPr>
        <w:pStyle w:val="Heading1"/>
      </w:pPr>
      <w:r>
        <w:t>Statutory Operations Manager</w:t>
      </w:r>
    </w:p>
    <w:p w14:paraId="3D69C36F" w14:textId="72F46D1A" w:rsidR="000F2193" w:rsidRDefault="000F2193">
      <w:pPr>
        <w:rPr>
          <w:sz w:val="28"/>
        </w:rPr>
      </w:pPr>
      <w:r>
        <w:rPr>
          <w:sz w:val="28"/>
        </w:rPr>
        <w:t>The Statutory Operations Manager is responsible for ensuring that the staff undertaking Freedom of Information (FOI) and Subject Access request comply with the law.</w:t>
      </w:r>
    </w:p>
    <w:p w14:paraId="0BD3DF88" w14:textId="5717D326" w:rsidR="000F2193" w:rsidRDefault="000F2193" w:rsidP="000F2193">
      <w:pPr>
        <w:pStyle w:val="Heading1"/>
      </w:pPr>
      <w:r>
        <w:t>All Staff</w:t>
      </w:r>
    </w:p>
    <w:p w14:paraId="4C63D4F8" w14:textId="7DD7E703" w:rsidR="000F2193" w:rsidRPr="000F2193" w:rsidRDefault="000F2193" w:rsidP="000F2193">
      <w:pPr>
        <w:rPr>
          <w:sz w:val="28"/>
        </w:rPr>
      </w:pPr>
      <w:r w:rsidRPr="000F2193">
        <w:rPr>
          <w:sz w:val="28"/>
        </w:rPr>
        <w:t>All staff are required to read and comply with the organisations’ data protection policies and seek the advice of the DPO where appropriate.</w:t>
      </w:r>
    </w:p>
    <w:p w14:paraId="1C2BA2F8" w14:textId="77777777" w:rsidR="00675F6C" w:rsidRDefault="00675F6C">
      <w:pPr>
        <w:rPr>
          <w:rFonts w:ascii="Arial" w:eastAsia="Times New Roman" w:hAnsi="Arial" w:cs="Times New Roman"/>
          <w:b/>
          <w:sz w:val="28"/>
          <w:szCs w:val="20"/>
          <w:lang w:eastAsia="en-GB"/>
        </w:rPr>
      </w:pPr>
      <w:r>
        <w:rPr>
          <w:sz w:val="28"/>
        </w:rPr>
        <w:br w:type="page"/>
      </w:r>
    </w:p>
    <w:p w14:paraId="4049C4CD" w14:textId="42B7B1C5" w:rsidR="003C60B3" w:rsidRPr="003C60B3" w:rsidRDefault="003C60B3" w:rsidP="003C60B3">
      <w:pPr>
        <w:pStyle w:val="Heading1"/>
        <w:rPr>
          <w:sz w:val="28"/>
        </w:rPr>
      </w:pPr>
      <w:r w:rsidRPr="003C60B3">
        <w:rPr>
          <w:sz w:val="28"/>
        </w:rPr>
        <w:lastRenderedPageBreak/>
        <w:t>Subject Access Requests</w:t>
      </w:r>
    </w:p>
    <w:p w14:paraId="690FBE4B" w14:textId="77777777" w:rsidR="003C60B3" w:rsidRPr="00CF6F18" w:rsidRDefault="003C60B3" w:rsidP="003C60B3"/>
    <w:p w14:paraId="1C042A93" w14:textId="77777777" w:rsidR="003C60B3" w:rsidRDefault="003C60B3" w:rsidP="003C60B3">
      <w:pPr>
        <w:pStyle w:val="Default"/>
        <w:jc w:val="both"/>
      </w:pPr>
      <w:r>
        <w:t xml:space="preserve">The procedure for making a request for personal data will be published on our website as part of our </w:t>
      </w:r>
      <w:hyperlink r:id="rId10" w:history="1">
        <w:r w:rsidRPr="005A344A">
          <w:rPr>
            <w:rStyle w:val="Hyperlink"/>
          </w:rPr>
          <w:t>Privacy Notice</w:t>
        </w:r>
      </w:hyperlink>
      <w:r>
        <w:t>.</w:t>
      </w:r>
    </w:p>
    <w:p w14:paraId="66E20F62" w14:textId="77777777" w:rsidR="003C60B3" w:rsidRPr="003C60B3" w:rsidRDefault="003C60B3" w:rsidP="003C60B3">
      <w:pPr>
        <w:pStyle w:val="Default"/>
        <w:jc w:val="both"/>
        <w:rPr>
          <w:sz w:val="28"/>
        </w:rPr>
      </w:pPr>
    </w:p>
    <w:p w14:paraId="09751578" w14:textId="77777777" w:rsidR="003C60B3" w:rsidRPr="003C60B3" w:rsidRDefault="003C60B3" w:rsidP="003C60B3">
      <w:pPr>
        <w:pStyle w:val="Heading2"/>
        <w:jc w:val="left"/>
        <w:rPr>
          <w:rFonts w:cs="Arial"/>
          <w:sz w:val="24"/>
        </w:rPr>
      </w:pPr>
      <w:r w:rsidRPr="003C60B3">
        <w:rPr>
          <w:rFonts w:cs="Arial"/>
          <w:sz w:val="24"/>
        </w:rPr>
        <w:t>Third Party Information</w:t>
      </w:r>
    </w:p>
    <w:p w14:paraId="0E3B5615" w14:textId="77777777" w:rsidR="003C60B3" w:rsidRPr="003C60B3" w:rsidRDefault="003C60B3" w:rsidP="003C60B3">
      <w:pPr>
        <w:rPr>
          <w:rFonts w:ascii="Arial" w:hAnsi="Arial" w:cs="Arial"/>
          <w:sz w:val="24"/>
        </w:rPr>
      </w:pPr>
      <w:r w:rsidRPr="003C60B3">
        <w:rPr>
          <w:rFonts w:ascii="Arial" w:hAnsi="Arial" w:cs="Arial"/>
          <w:sz w:val="24"/>
        </w:rPr>
        <w:t>If a request includes personal information about a third party, the information will only be disclosed if it will not breach any of the data protection principles. The key issues are fairness, lawfulness and the expectation of privacy.</w:t>
      </w:r>
    </w:p>
    <w:p w14:paraId="1562159C" w14:textId="77777777" w:rsidR="003C60B3" w:rsidRPr="003C60B3" w:rsidRDefault="003C60B3" w:rsidP="003C60B3">
      <w:pPr>
        <w:rPr>
          <w:rFonts w:ascii="Arial" w:hAnsi="Arial" w:cs="Arial"/>
          <w:sz w:val="24"/>
        </w:rPr>
      </w:pPr>
    </w:p>
    <w:p w14:paraId="6EE3BB10" w14:textId="77777777" w:rsidR="003C60B3" w:rsidRPr="003C60B3" w:rsidRDefault="003C60B3" w:rsidP="003C60B3">
      <w:pPr>
        <w:rPr>
          <w:rFonts w:ascii="Arial" w:hAnsi="Arial" w:cs="Arial"/>
          <w:sz w:val="24"/>
        </w:rPr>
      </w:pPr>
      <w:r w:rsidRPr="003C60B3">
        <w:rPr>
          <w:rFonts w:ascii="Arial" w:hAnsi="Arial" w:cs="Arial"/>
          <w:sz w:val="24"/>
        </w:rPr>
        <w:t>Where a request is made for information about a person other than the applicant or the OPCC – or disclosure could affect the interests of a third party – the OPCC will consult the third party in order to determine if an exemption applies. The final decision will be made by the OPCC.</w:t>
      </w:r>
    </w:p>
    <w:p w14:paraId="318C5A43" w14:textId="77777777" w:rsidR="003C60B3" w:rsidRPr="003C60B3" w:rsidRDefault="003C60B3" w:rsidP="003C60B3">
      <w:pPr>
        <w:rPr>
          <w:rFonts w:ascii="Arial" w:hAnsi="Arial" w:cs="Arial"/>
          <w:sz w:val="24"/>
        </w:rPr>
      </w:pPr>
    </w:p>
    <w:p w14:paraId="706F8325" w14:textId="77777777" w:rsidR="003C60B3" w:rsidRPr="003C60B3" w:rsidRDefault="003C60B3" w:rsidP="003C60B3">
      <w:pPr>
        <w:pStyle w:val="Heading2"/>
        <w:jc w:val="left"/>
        <w:rPr>
          <w:rFonts w:cs="Arial"/>
          <w:sz w:val="24"/>
        </w:rPr>
      </w:pPr>
      <w:r w:rsidRPr="003C60B3">
        <w:rPr>
          <w:rFonts w:cs="Arial"/>
          <w:sz w:val="24"/>
        </w:rPr>
        <w:t>Consent</w:t>
      </w:r>
    </w:p>
    <w:p w14:paraId="0107153C" w14:textId="77777777" w:rsidR="003C60B3" w:rsidRPr="003C60B3" w:rsidRDefault="003C60B3" w:rsidP="003C60B3">
      <w:pPr>
        <w:rPr>
          <w:rFonts w:ascii="Arial" w:hAnsi="Arial" w:cs="Arial"/>
          <w:sz w:val="24"/>
        </w:rPr>
      </w:pPr>
      <w:r w:rsidRPr="003C60B3">
        <w:rPr>
          <w:rFonts w:ascii="Arial" w:hAnsi="Arial" w:cs="Arial"/>
          <w:sz w:val="24"/>
        </w:rPr>
        <w:t xml:space="preserve">Where consent is relied upon as the lawful basis for processing personal data, a record will be kept of each person’s consent. Periodic checks will be made that the consent is still valid, the frequency of which will depend upon the purpose of the processing and will be recorded in a DPIA. </w:t>
      </w:r>
    </w:p>
    <w:p w14:paraId="07C65CC4" w14:textId="77777777" w:rsidR="003C60B3" w:rsidRPr="003C60B3" w:rsidRDefault="003C60B3" w:rsidP="003C60B3">
      <w:pPr>
        <w:rPr>
          <w:rFonts w:ascii="Arial" w:hAnsi="Arial" w:cs="Arial"/>
          <w:sz w:val="24"/>
        </w:rPr>
      </w:pPr>
    </w:p>
    <w:p w14:paraId="5FE186FF" w14:textId="77777777" w:rsidR="003C60B3" w:rsidRDefault="003C60B3" w:rsidP="003C60B3">
      <w:pPr>
        <w:rPr>
          <w:rFonts w:ascii="Arial" w:hAnsi="Arial" w:cs="Arial"/>
          <w:sz w:val="24"/>
        </w:rPr>
      </w:pPr>
      <w:r w:rsidRPr="003C60B3">
        <w:rPr>
          <w:rFonts w:ascii="Arial" w:hAnsi="Arial" w:cs="Arial"/>
          <w:sz w:val="24"/>
        </w:rPr>
        <w:t>Data subjects can withdraw their consent for processing at any time, at which point their data will be fully removed from the systems in questions at the earliest opportunity and no further processing of their personal data will be undertaken.</w:t>
      </w:r>
    </w:p>
    <w:p w14:paraId="5E25918C" w14:textId="77777777" w:rsidR="003C60B3" w:rsidRDefault="003C60B3" w:rsidP="003C60B3">
      <w:pPr>
        <w:rPr>
          <w:rFonts w:ascii="Arial" w:hAnsi="Arial" w:cs="Arial"/>
          <w:sz w:val="24"/>
        </w:rPr>
      </w:pPr>
    </w:p>
    <w:p w14:paraId="624D9B9F" w14:textId="77777777" w:rsidR="003C60B3" w:rsidRDefault="003C60B3" w:rsidP="003C60B3">
      <w:pPr>
        <w:rPr>
          <w:rFonts w:ascii="Arial" w:hAnsi="Arial" w:cs="Arial"/>
          <w:sz w:val="24"/>
        </w:rPr>
      </w:pPr>
    </w:p>
    <w:p w14:paraId="2DE6A2FE" w14:textId="77777777" w:rsidR="003C60B3" w:rsidRDefault="003C60B3" w:rsidP="003C60B3">
      <w:pPr>
        <w:pStyle w:val="Heading1"/>
      </w:pPr>
      <w:bookmarkStart w:id="0" w:name="_Toc532368876"/>
      <w:r>
        <w:t>Data Protection Impact Assessments</w:t>
      </w:r>
      <w:bookmarkEnd w:id="0"/>
    </w:p>
    <w:p w14:paraId="0407BAC0" w14:textId="77777777" w:rsidR="003C60B3" w:rsidRPr="00CF6F18" w:rsidRDefault="003C60B3" w:rsidP="003C60B3"/>
    <w:p w14:paraId="37940E60" w14:textId="77777777" w:rsidR="003C60B3" w:rsidRDefault="003C60B3" w:rsidP="003C60B3">
      <w:pPr>
        <w:pStyle w:val="Default"/>
        <w:jc w:val="both"/>
      </w:pPr>
      <w:r>
        <w:t xml:space="preserve">Whenever we consider an activity that may include the processing of personal data, we will consider whether a Data Protection Impact Assessment (DPIA) is required. A DPIA will identify and mitigate any high risks to individuals. </w:t>
      </w:r>
    </w:p>
    <w:p w14:paraId="45F83C4F" w14:textId="77777777" w:rsidR="003C60B3" w:rsidRDefault="003C60B3" w:rsidP="003C60B3">
      <w:pPr>
        <w:pStyle w:val="Default"/>
        <w:jc w:val="both"/>
      </w:pPr>
    </w:p>
    <w:p w14:paraId="0BDEE25E" w14:textId="009EDE02" w:rsidR="001C52D1" w:rsidRDefault="001C52D1" w:rsidP="003C60B3">
      <w:pPr>
        <w:pStyle w:val="Default"/>
        <w:jc w:val="both"/>
      </w:pPr>
      <w:r>
        <w:t>A screening document will be completed in conjunction with the DPO that records the decision whether or not to conduct a full DPIA.</w:t>
      </w:r>
    </w:p>
    <w:p w14:paraId="11B067AD" w14:textId="77777777" w:rsidR="001C52D1" w:rsidRDefault="001C52D1" w:rsidP="003C60B3">
      <w:pPr>
        <w:pStyle w:val="Default"/>
        <w:jc w:val="both"/>
      </w:pPr>
    </w:p>
    <w:p w14:paraId="5F2E8ED2" w14:textId="77777777" w:rsidR="003C60B3" w:rsidRDefault="003C60B3" w:rsidP="003C60B3">
      <w:pPr>
        <w:pStyle w:val="Default"/>
        <w:jc w:val="both"/>
      </w:pPr>
      <w:r>
        <w:t>A DPIA will be completed if we plan to:</w:t>
      </w:r>
    </w:p>
    <w:p w14:paraId="1829EC40" w14:textId="77777777" w:rsidR="003C60B3" w:rsidRDefault="003C60B3" w:rsidP="003C60B3">
      <w:pPr>
        <w:pStyle w:val="Default"/>
        <w:jc w:val="both"/>
      </w:pPr>
    </w:p>
    <w:p w14:paraId="1B59248D" w14:textId="77777777" w:rsidR="003C60B3" w:rsidRDefault="003C60B3" w:rsidP="003C60B3">
      <w:pPr>
        <w:pStyle w:val="Default"/>
        <w:numPr>
          <w:ilvl w:val="0"/>
          <w:numId w:val="18"/>
        </w:numPr>
        <w:jc w:val="both"/>
      </w:pPr>
      <w:r>
        <w:t>use systematic and extensive profiling with significant effects;</w:t>
      </w:r>
    </w:p>
    <w:p w14:paraId="45DBEBC5" w14:textId="77777777" w:rsidR="003C60B3" w:rsidRDefault="003C60B3" w:rsidP="003C60B3">
      <w:pPr>
        <w:pStyle w:val="Default"/>
        <w:numPr>
          <w:ilvl w:val="0"/>
          <w:numId w:val="18"/>
        </w:numPr>
        <w:jc w:val="both"/>
      </w:pPr>
      <w:r>
        <w:t>process special category or criminal offence data on a large scale; or</w:t>
      </w:r>
    </w:p>
    <w:p w14:paraId="20F0C766" w14:textId="77777777" w:rsidR="003C60B3" w:rsidRDefault="003C60B3" w:rsidP="003C60B3">
      <w:pPr>
        <w:pStyle w:val="Default"/>
        <w:numPr>
          <w:ilvl w:val="0"/>
          <w:numId w:val="18"/>
        </w:numPr>
        <w:jc w:val="both"/>
      </w:pPr>
      <w:r>
        <w:t>systematically monitor publicly accessible places on a large scale.</w:t>
      </w:r>
    </w:p>
    <w:p w14:paraId="501E5DEF" w14:textId="77777777" w:rsidR="003C60B3" w:rsidRDefault="003C60B3" w:rsidP="003C60B3">
      <w:pPr>
        <w:pStyle w:val="Default"/>
        <w:numPr>
          <w:ilvl w:val="0"/>
          <w:numId w:val="18"/>
        </w:numPr>
        <w:jc w:val="both"/>
      </w:pPr>
      <w:r>
        <w:t>use new technologies;</w:t>
      </w:r>
    </w:p>
    <w:p w14:paraId="38067769" w14:textId="77777777" w:rsidR="003C60B3" w:rsidRDefault="003C60B3" w:rsidP="003C60B3">
      <w:pPr>
        <w:pStyle w:val="Default"/>
        <w:numPr>
          <w:ilvl w:val="0"/>
          <w:numId w:val="18"/>
        </w:numPr>
        <w:jc w:val="both"/>
      </w:pPr>
      <w:r>
        <w:lastRenderedPageBreak/>
        <w:t>use profiling or special category data to decide on access to services;</w:t>
      </w:r>
    </w:p>
    <w:p w14:paraId="6B1FCBF6" w14:textId="77777777" w:rsidR="003C60B3" w:rsidRDefault="003C60B3" w:rsidP="003C60B3">
      <w:pPr>
        <w:pStyle w:val="Default"/>
        <w:numPr>
          <w:ilvl w:val="0"/>
          <w:numId w:val="18"/>
        </w:numPr>
        <w:jc w:val="both"/>
      </w:pPr>
      <w:r>
        <w:t>profile individuals on a large scale;</w:t>
      </w:r>
    </w:p>
    <w:p w14:paraId="3DE08DE2" w14:textId="77777777" w:rsidR="003C60B3" w:rsidRDefault="003C60B3" w:rsidP="003C60B3">
      <w:pPr>
        <w:pStyle w:val="Default"/>
        <w:numPr>
          <w:ilvl w:val="0"/>
          <w:numId w:val="18"/>
        </w:numPr>
        <w:jc w:val="both"/>
      </w:pPr>
      <w:r>
        <w:t>process biometric data;</w:t>
      </w:r>
    </w:p>
    <w:p w14:paraId="6AAFF822" w14:textId="77777777" w:rsidR="003C60B3" w:rsidRDefault="003C60B3" w:rsidP="003C60B3">
      <w:pPr>
        <w:pStyle w:val="Default"/>
        <w:numPr>
          <w:ilvl w:val="0"/>
          <w:numId w:val="18"/>
        </w:numPr>
        <w:jc w:val="both"/>
      </w:pPr>
      <w:r>
        <w:t>process genetic data;</w:t>
      </w:r>
    </w:p>
    <w:p w14:paraId="7BCF12CE" w14:textId="77777777" w:rsidR="003C60B3" w:rsidRDefault="003C60B3" w:rsidP="003C60B3">
      <w:pPr>
        <w:pStyle w:val="Default"/>
        <w:numPr>
          <w:ilvl w:val="0"/>
          <w:numId w:val="18"/>
        </w:numPr>
        <w:jc w:val="both"/>
      </w:pPr>
      <w:r>
        <w:t>match data or combine datasets from different sources;</w:t>
      </w:r>
    </w:p>
    <w:p w14:paraId="52115C99" w14:textId="77777777" w:rsidR="003C60B3" w:rsidRDefault="003C60B3" w:rsidP="003C60B3">
      <w:pPr>
        <w:pStyle w:val="Default"/>
        <w:numPr>
          <w:ilvl w:val="0"/>
          <w:numId w:val="18"/>
        </w:numPr>
        <w:jc w:val="both"/>
      </w:pPr>
      <w:r>
        <w:t>collect personal data from a source other than the individual without providing them with a privacy notice (‘invisible processing’);</w:t>
      </w:r>
    </w:p>
    <w:p w14:paraId="7F1A4BD8" w14:textId="77777777" w:rsidR="003C60B3" w:rsidRDefault="003C60B3" w:rsidP="003C60B3">
      <w:pPr>
        <w:pStyle w:val="Default"/>
        <w:numPr>
          <w:ilvl w:val="0"/>
          <w:numId w:val="18"/>
        </w:numPr>
        <w:jc w:val="both"/>
      </w:pPr>
      <w:r>
        <w:t>track individuals’ location or behaviour;</w:t>
      </w:r>
    </w:p>
    <w:p w14:paraId="2EDC9DBF" w14:textId="77777777" w:rsidR="003C60B3" w:rsidRDefault="003C60B3" w:rsidP="003C60B3">
      <w:pPr>
        <w:pStyle w:val="Default"/>
        <w:numPr>
          <w:ilvl w:val="0"/>
          <w:numId w:val="18"/>
        </w:numPr>
        <w:jc w:val="both"/>
      </w:pPr>
      <w:r>
        <w:t>profile children or target marketing or online services at them; or</w:t>
      </w:r>
    </w:p>
    <w:p w14:paraId="609C8106" w14:textId="77777777" w:rsidR="003C60B3" w:rsidRDefault="003C60B3" w:rsidP="003C60B3">
      <w:pPr>
        <w:pStyle w:val="Default"/>
        <w:numPr>
          <w:ilvl w:val="0"/>
          <w:numId w:val="18"/>
        </w:numPr>
        <w:jc w:val="both"/>
      </w:pPr>
      <w:r>
        <w:t>process data that might endanger the individual’s physical health or safety in the event of a security breach.</w:t>
      </w:r>
    </w:p>
    <w:p w14:paraId="6F0EBECF" w14:textId="77777777" w:rsidR="003C60B3" w:rsidRDefault="003C60B3" w:rsidP="003C60B3">
      <w:pPr>
        <w:pStyle w:val="Default"/>
        <w:ind w:left="720"/>
        <w:jc w:val="both"/>
      </w:pPr>
    </w:p>
    <w:p w14:paraId="23BB002A" w14:textId="77777777" w:rsidR="003C60B3" w:rsidRDefault="003C60B3" w:rsidP="003C60B3">
      <w:pPr>
        <w:pStyle w:val="Default"/>
        <w:jc w:val="both"/>
      </w:pPr>
      <w:r>
        <w:t xml:space="preserve">Even if there is no specific indication of likely high risk, we will conduct a DPIA for any major new project involving the use of personal data. </w:t>
      </w:r>
    </w:p>
    <w:p w14:paraId="58021390" w14:textId="77777777" w:rsidR="003C60B3" w:rsidRDefault="003C60B3" w:rsidP="003C60B3">
      <w:pPr>
        <w:pStyle w:val="Default"/>
        <w:jc w:val="both"/>
      </w:pPr>
    </w:p>
    <w:p w14:paraId="62B56004" w14:textId="77777777" w:rsidR="003C60B3" w:rsidRDefault="003C60B3" w:rsidP="003C60B3">
      <w:pPr>
        <w:pStyle w:val="Default"/>
        <w:jc w:val="both"/>
      </w:pPr>
      <w:r>
        <w:t>Each DPIA will</w:t>
      </w:r>
      <w:r w:rsidRPr="00546FB9">
        <w:t>:</w:t>
      </w:r>
    </w:p>
    <w:p w14:paraId="63315816" w14:textId="77777777" w:rsidR="003C60B3" w:rsidRPr="00546FB9" w:rsidRDefault="003C60B3" w:rsidP="003C60B3">
      <w:pPr>
        <w:pStyle w:val="Default"/>
        <w:jc w:val="both"/>
      </w:pPr>
    </w:p>
    <w:p w14:paraId="770D2DA3" w14:textId="77777777" w:rsidR="003C60B3" w:rsidRPr="00546FB9" w:rsidRDefault="003C60B3" w:rsidP="003C60B3">
      <w:pPr>
        <w:pStyle w:val="Default"/>
        <w:numPr>
          <w:ilvl w:val="0"/>
          <w:numId w:val="17"/>
        </w:numPr>
        <w:jc w:val="both"/>
      </w:pPr>
      <w:r w:rsidRPr="00546FB9">
        <w:t>describe the nature, scope, context and purposes of the processing;</w:t>
      </w:r>
    </w:p>
    <w:p w14:paraId="4F9CCAC3" w14:textId="77777777" w:rsidR="003C60B3" w:rsidRPr="00546FB9" w:rsidRDefault="003C60B3" w:rsidP="003C60B3">
      <w:pPr>
        <w:pStyle w:val="Default"/>
        <w:numPr>
          <w:ilvl w:val="0"/>
          <w:numId w:val="17"/>
        </w:numPr>
        <w:jc w:val="both"/>
      </w:pPr>
      <w:r w:rsidRPr="00546FB9">
        <w:t>assess necessity, proportionality and compliance measures;</w:t>
      </w:r>
    </w:p>
    <w:p w14:paraId="4D1B811E" w14:textId="77777777" w:rsidR="003C60B3" w:rsidRPr="00546FB9" w:rsidRDefault="003C60B3" w:rsidP="003C60B3">
      <w:pPr>
        <w:pStyle w:val="Default"/>
        <w:numPr>
          <w:ilvl w:val="0"/>
          <w:numId w:val="17"/>
        </w:numPr>
        <w:jc w:val="both"/>
      </w:pPr>
      <w:r w:rsidRPr="00546FB9">
        <w:t>identify and assess risks to individuals; and</w:t>
      </w:r>
    </w:p>
    <w:p w14:paraId="3335336A" w14:textId="77777777" w:rsidR="003C60B3" w:rsidRDefault="003C60B3" w:rsidP="003C60B3">
      <w:pPr>
        <w:pStyle w:val="Default"/>
        <w:numPr>
          <w:ilvl w:val="0"/>
          <w:numId w:val="17"/>
        </w:numPr>
        <w:jc w:val="both"/>
      </w:pPr>
      <w:r w:rsidRPr="00546FB9">
        <w:t>identify any additional measures to mitigate those risks.</w:t>
      </w:r>
    </w:p>
    <w:p w14:paraId="1B024958" w14:textId="77777777" w:rsidR="003C60B3" w:rsidRDefault="003C60B3" w:rsidP="003C60B3">
      <w:pPr>
        <w:pStyle w:val="Default"/>
        <w:numPr>
          <w:ilvl w:val="0"/>
          <w:numId w:val="17"/>
        </w:numPr>
        <w:jc w:val="both"/>
      </w:pPr>
      <w:r>
        <w:t>include a review date except for one-off activities.</w:t>
      </w:r>
    </w:p>
    <w:p w14:paraId="41C474A8" w14:textId="77777777" w:rsidR="003C60B3" w:rsidRDefault="003C60B3" w:rsidP="003C60B3">
      <w:pPr>
        <w:pStyle w:val="Default"/>
        <w:jc w:val="both"/>
      </w:pPr>
    </w:p>
    <w:p w14:paraId="565814F4" w14:textId="28BC3A02" w:rsidR="003C60B3" w:rsidRDefault="003C60B3" w:rsidP="006D03C2">
      <w:pPr>
        <w:pStyle w:val="Default"/>
        <w:jc w:val="both"/>
      </w:pPr>
      <w:r>
        <w:t>The DPIA will be completed and logged by the Data Protection Officer in conjunction with the person leading on the project. It will be signed off by the DPO, with guidance being sought from the CEO where appropriate – for example in areas with high reputational risk or where new technology is being used.</w:t>
      </w:r>
    </w:p>
    <w:p w14:paraId="69B7AC7E" w14:textId="77777777" w:rsidR="001C52D1" w:rsidRDefault="001C52D1" w:rsidP="001C52D1">
      <w:pPr>
        <w:pStyle w:val="Default"/>
        <w:jc w:val="both"/>
      </w:pPr>
    </w:p>
    <w:p w14:paraId="1A2D5AA3" w14:textId="0A7FD909" w:rsidR="003C60B3" w:rsidRDefault="001C52D1" w:rsidP="001C52D1">
      <w:pPr>
        <w:pStyle w:val="Default"/>
        <w:jc w:val="both"/>
      </w:pPr>
      <w:r>
        <w:t>If there are remaining areas of high risk to data subjects’ rights and freedoms, the DPO will consult with the Information Commissioner’s Office.</w:t>
      </w:r>
    </w:p>
    <w:p w14:paraId="46615FB3" w14:textId="77777777" w:rsidR="001C52D1" w:rsidRDefault="001C52D1" w:rsidP="001C52D1">
      <w:pPr>
        <w:pStyle w:val="Default"/>
        <w:jc w:val="both"/>
      </w:pPr>
    </w:p>
    <w:p w14:paraId="287DDF6B" w14:textId="33BFA105" w:rsidR="001C52D1" w:rsidRDefault="001C52D1" w:rsidP="001C52D1">
      <w:pPr>
        <w:pStyle w:val="Default"/>
        <w:jc w:val="both"/>
      </w:pPr>
      <w:r>
        <w:t>The results of the DPIA will be shared with any stakeholders that are consulted and DPIAs will be shared (redacted where appropriate) on the OPCC website.</w:t>
      </w:r>
    </w:p>
    <w:p w14:paraId="00C22986" w14:textId="77777777" w:rsidR="001C52D1" w:rsidRDefault="001C52D1" w:rsidP="001C52D1">
      <w:pPr>
        <w:pStyle w:val="Default"/>
        <w:jc w:val="both"/>
      </w:pPr>
    </w:p>
    <w:p w14:paraId="20A139FC" w14:textId="643A37DC" w:rsidR="001C52D1" w:rsidRDefault="001C52D1" w:rsidP="001C52D1">
      <w:pPr>
        <w:pStyle w:val="Default"/>
        <w:jc w:val="both"/>
      </w:pPr>
      <w:r>
        <w:t>Processing must not take place until mitigating measures are in place following the DPIA.</w:t>
      </w:r>
    </w:p>
    <w:p w14:paraId="5990FE27" w14:textId="77777777" w:rsidR="001C52D1" w:rsidRDefault="001C52D1" w:rsidP="001C52D1">
      <w:pPr>
        <w:pStyle w:val="Default"/>
        <w:jc w:val="both"/>
      </w:pPr>
    </w:p>
    <w:p w14:paraId="2A73127F" w14:textId="4A094443" w:rsidR="001C52D1" w:rsidRDefault="001C52D1" w:rsidP="001C52D1">
      <w:pPr>
        <w:pStyle w:val="Default"/>
        <w:jc w:val="both"/>
      </w:pPr>
      <w:r>
        <w:t>DPIA are to be reviewed regularly, based on risk, one year after implementation then at least every three years – or where the context or purpose of the processing changes.</w:t>
      </w:r>
    </w:p>
    <w:p w14:paraId="58FAD576" w14:textId="77777777" w:rsidR="003C60B3" w:rsidRDefault="003C60B3" w:rsidP="003C60B3"/>
    <w:p w14:paraId="29DBFD30" w14:textId="77777777" w:rsidR="003C60B3" w:rsidRDefault="003C60B3" w:rsidP="003C60B3"/>
    <w:p w14:paraId="7598388E" w14:textId="77777777" w:rsidR="003C60B3" w:rsidRDefault="003C60B3" w:rsidP="003C60B3">
      <w:pPr>
        <w:pStyle w:val="Heading1"/>
      </w:pPr>
      <w:r>
        <w:t>Data Sharing</w:t>
      </w:r>
    </w:p>
    <w:p w14:paraId="6BBEA8ED" w14:textId="77777777" w:rsidR="003C60B3" w:rsidRPr="00CF6F18" w:rsidRDefault="003C60B3" w:rsidP="003C60B3"/>
    <w:p w14:paraId="0C638A5B" w14:textId="77777777" w:rsidR="003C60B3" w:rsidRDefault="003C60B3" w:rsidP="003C60B3">
      <w:pPr>
        <w:pStyle w:val="Default"/>
        <w:jc w:val="both"/>
      </w:pPr>
      <w:r w:rsidRPr="00943FE9">
        <w:t>Information and knowledge are key corporate assets and we all have a responsibility to share and re-use them to release their value and maximise benefits to the business and the public. Data held by the organisation should be open to re-use unless there is a good reason not to.</w:t>
      </w:r>
    </w:p>
    <w:p w14:paraId="61BF7B15" w14:textId="77777777" w:rsidR="003C60B3" w:rsidRPr="00943FE9" w:rsidRDefault="003C60B3" w:rsidP="003C60B3">
      <w:pPr>
        <w:pStyle w:val="Default"/>
        <w:jc w:val="both"/>
      </w:pPr>
    </w:p>
    <w:p w14:paraId="09E1AD0C" w14:textId="77777777" w:rsidR="003C60B3" w:rsidRDefault="003C60B3" w:rsidP="003C60B3">
      <w:pPr>
        <w:pStyle w:val="Heading2"/>
      </w:pPr>
      <w:r w:rsidRPr="00943FE9">
        <w:t>When can data be shared internally?</w:t>
      </w:r>
    </w:p>
    <w:p w14:paraId="31B865B9" w14:textId="77777777" w:rsidR="003C60B3" w:rsidRPr="00CF6F18" w:rsidRDefault="003C60B3" w:rsidP="003C60B3"/>
    <w:p w14:paraId="0A23452C" w14:textId="77777777" w:rsidR="003C60B3" w:rsidRDefault="003C60B3" w:rsidP="003C60B3">
      <w:pPr>
        <w:pStyle w:val="Default"/>
        <w:jc w:val="both"/>
      </w:pPr>
      <w:r w:rsidRPr="00943FE9">
        <w:t>Data should be shared internally by means of storage on searchable computer systems of clearly documented filing systems. Staff are encouraged to seek out and reuse existing datasets held by the organisation in preference to sourcing new data wherever feasible.</w:t>
      </w:r>
    </w:p>
    <w:p w14:paraId="06217018" w14:textId="77777777" w:rsidR="003C60B3" w:rsidRPr="00943FE9" w:rsidRDefault="003C60B3" w:rsidP="003C60B3">
      <w:pPr>
        <w:pStyle w:val="Default"/>
        <w:jc w:val="both"/>
      </w:pPr>
    </w:p>
    <w:p w14:paraId="4BD60AA8" w14:textId="77777777" w:rsidR="003C60B3" w:rsidRDefault="003C60B3" w:rsidP="003C60B3">
      <w:pPr>
        <w:pStyle w:val="Heading2"/>
      </w:pPr>
      <w:r w:rsidRPr="00943FE9">
        <w:t>When can data be shared externally?</w:t>
      </w:r>
    </w:p>
    <w:p w14:paraId="6D63A2E0" w14:textId="77777777" w:rsidR="003C60B3" w:rsidRPr="00CF6F18" w:rsidRDefault="003C60B3" w:rsidP="003C60B3"/>
    <w:p w14:paraId="226C4F08" w14:textId="77777777" w:rsidR="003C60B3" w:rsidRDefault="003C60B3" w:rsidP="003C60B3">
      <w:pPr>
        <w:pStyle w:val="Default"/>
        <w:jc w:val="both"/>
      </w:pPr>
      <w:r w:rsidRPr="00943FE9">
        <w:t>The organisation takes a responsible and risk-based approach to data sharing. Much of the information processed by the organisation may be shared with partners of the public. Wherever practicable, information in the public interest will be proactively published on the external website in a reusable format.</w:t>
      </w:r>
    </w:p>
    <w:p w14:paraId="3020AFDD" w14:textId="77777777" w:rsidR="003C60B3" w:rsidRPr="00943FE9" w:rsidRDefault="003C60B3" w:rsidP="003C60B3">
      <w:pPr>
        <w:pStyle w:val="Default"/>
        <w:jc w:val="both"/>
      </w:pPr>
    </w:p>
    <w:p w14:paraId="71076F79" w14:textId="77777777" w:rsidR="003C60B3" w:rsidRDefault="003C60B3" w:rsidP="003C60B3">
      <w:pPr>
        <w:pStyle w:val="Heading2"/>
      </w:pPr>
      <w:r w:rsidRPr="00943FE9">
        <w:t>Special Provisions for Personal Data</w:t>
      </w:r>
    </w:p>
    <w:p w14:paraId="454C6C05" w14:textId="77777777" w:rsidR="003C60B3" w:rsidRPr="00CF6F18" w:rsidRDefault="003C60B3" w:rsidP="003C60B3"/>
    <w:p w14:paraId="1FD8C76C" w14:textId="77777777" w:rsidR="003C60B3" w:rsidRDefault="003C60B3" w:rsidP="003C60B3">
      <w:pPr>
        <w:pStyle w:val="Default"/>
        <w:jc w:val="both"/>
      </w:pPr>
      <w:r w:rsidRPr="00943FE9">
        <w:t>Personal data shall only be internally shared and reused if the new purpose is compatible with that for which it was collected, a record will be kept of the reuse and the rationale behind it and, where required under the Data Protection Act 2018, the Data Subject(s) shall be informed of the new use wherever it is reasonably practicable to do so. If Special Category Personal Data is shared, the Data Protection Officer must first be consulted and a record kept of the lawful purpose for doing so.</w:t>
      </w:r>
    </w:p>
    <w:p w14:paraId="5A673846" w14:textId="77777777" w:rsidR="003C60B3" w:rsidRPr="00943FE9" w:rsidRDefault="003C60B3" w:rsidP="003C60B3">
      <w:pPr>
        <w:pStyle w:val="Default"/>
        <w:jc w:val="both"/>
      </w:pPr>
    </w:p>
    <w:p w14:paraId="44E6BE8E" w14:textId="77777777" w:rsidR="003C60B3" w:rsidRDefault="003C60B3" w:rsidP="003C60B3">
      <w:pPr>
        <w:pStyle w:val="Default"/>
        <w:jc w:val="both"/>
      </w:pPr>
      <w:r w:rsidRPr="00943FE9">
        <w:t>Personal Data controlled by the organisation may only be shared with partner agencies after a risk-assessment has been undertaken by the Data Protection Officer in consultation with a member of the Senior Management Team (SMT). The risk assessment will establish a lawful basis for sharing and consider whether any of the data is personal data and consider any organisational or reputational risks to the organisation or its partners should the data be subject to a breach.</w:t>
      </w:r>
    </w:p>
    <w:p w14:paraId="6329215B" w14:textId="77777777" w:rsidR="003C60B3" w:rsidRPr="00943FE9" w:rsidRDefault="003C60B3" w:rsidP="003C60B3">
      <w:pPr>
        <w:pStyle w:val="Default"/>
        <w:jc w:val="both"/>
      </w:pPr>
    </w:p>
    <w:p w14:paraId="3BF17CBF" w14:textId="77777777" w:rsidR="003C60B3" w:rsidRDefault="003C60B3" w:rsidP="003C60B3">
      <w:pPr>
        <w:pStyle w:val="Heading2"/>
      </w:pPr>
      <w:r w:rsidRPr="00943FE9">
        <w:t>Ad-Hoc Information Sharing</w:t>
      </w:r>
    </w:p>
    <w:p w14:paraId="3A4B7950" w14:textId="77777777" w:rsidR="003C60B3" w:rsidRPr="00CF6F18" w:rsidRDefault="003C60B3" w:rsidP="003C60B3"/>
    <w:p w14:paraId="7C79C84D" w14:textId="77777777" w:rsidR="003C60B3" w:rsidRPr="00943FE9" w:rsidRDefault="003C60B3" w:rsidP="003C60B3">
      <w:pPr>
        <w:pStyle w:val="Default"/>
        <w:jc w:val="both"/>
      </w:pPr>
      <w:r w:rsidRPr="00943FE9">
        <w:t>Whenever personal data is shared with a partner agency, a record must be kept of:</w:t>
      </w:r>
    </w:p>
    <w:p w14:paraId="670634CC" w14:textId="77777777" w:rsidR="003C60B3" w:rsidRPr="00943FE9" w:rsidRDefault="003C60B3" w:rsidP="003C60B3">
      <w:pPr>
        <w:pStyle w:val="Default"/>
        <w:numPr>
          <w:ilvl w:val="0"/>
          <w:numId w:val="19"/>
        </w:numPr>
        <w:jc w:val="both"/>
      </w:pPr>
      <w:r w:rsidRPr="00943FE9">
        <w:t>The date the information was shared</w:t>
      </w:r>
    </w:p>
    <w:p w14:paraId="742455A4" w14:textId="77777777" w:rsidR="003C60B3" w:rsidRPr="00943FE9" w:rsidRDefault="003C60B3" w:rsidP="003C60B3">
      <w:pPr>
        <w:pStyle w:val="Default"/>
        <w:numPr>
          <w:ilvl w:val="0"/>
          <w:numId w:val="19"/>
        </w:numPr>
        <w:jc w:val="both"/>
      </w:pPr>
      <w:r w:rsidRPr="00943FE9">
        <w:t>What data was shared (e.g. names, email addresses)</w:t>
      </w:r>
    </w:p>
    <w:p w14:paraId="30F6651F" w14:textId="77777777" w:rsidR="003C60B3" w:rsidRPr="00943FE9" w:rsidRDefault="003C60B3" w:rsidP="003C60B3">
      <w:pPr>
        <w:pStyle w:val="Default"/>
        <w:numPr>
          <w:ilvl w:val="0"/>
          <w:numId w:val="19"/>
        </w:numPr>
        <w:jc w:val="both"/>
      </w:pPr>
      <w:r w:rsidRPr="00943FE9">
        <w:t>How much data was shared (e.g. number of records)</w:t>
      </w:r>
    </w:p>
    <w:p w14:paraId="77922981" w14:textId="77777777" w:rsidR="003C60B3" w:rsidRPr="00943FE9" w:rsidRDefault="003C60B3" w:rsidP="003C60B3">
      <w:pPr>
        <w:pStyle w:val="Default"/>
        <w:numPr>
          <w:ilvl w:val="0"/>
          <w:numId w:val="19"/>
        </w:numPr>
        <w:jc w:val="both"/>
      </w:pPr>
      <w:r w:rsidRPr="00943FE9">
        <w:t>Who it was shared with</w:t>
      </w:r>
    </w:p>
    <w:p w14:paraId="3D4F3280" w14:textId="77777777" w:rsidR="003C60B3" w:rsidRDefault="003C60B3" w:rsidP="003C60B3">
      <w:pPr>
        <w:pStyle w:val="Default"/>
        <w:numPr>
          <w:ilvl w:val="0"/>
          <w:numId w:val="19"/>
        </w:numPr>
        <w:jc w:val="both"/>
      </w:pPr>
      <w:r w:rsidRPr="00943FE9">
        <w:t>The lawful basis for sharing</w:t>
      </w:r>
    </w:p>
    <w:p w14:paraId="22511D10" w14:textId="77777777" w:rsidR="003C60B3" w:rsidRPr="00943FE9" w:rsidRDefault="003C60B3" w:rsidP="003C60B3">
      <w:pPr>
        <w:pStyle w:val="Default"/>
        <w:ind w:left="720"/>
        <w:jc w:val="both"/>
      </w:pPr>
    </w:p>
    <w:p w14:paraId="1CD4AA02" w14:textId="77777777" w:rsidR="003C60B3" w:rsidRDefault="003C60B3" w:rsidP="003C60B3">
      <w:pPr>
        <w:pStyle w:val="Default"/>
        <w:jc w:val="both"/>
      </w:pPr>
      <w:r w:rsidRPr="00943FE9">
        <w:t>This information will be sent to the Data Protection Officer by the person who shares the dat. A register of ad-hoc information sharing activity will be held.</w:t>
      </w:r>
    </w:p>
    <w:p w14:paraId="58B69DB9" w14:textId="77777777" w:rsidR="003C60B3" w:rsidRDefault="003C60B3" w:rsidP="003C60B3">
      <w:pPr>
        <w:pStyle w:val="Heading2"/>
      </w:pPr>
      <w:r w:rsidRPr="00943FE9">
        <w:t>Information Sharing Agreements</w:t>
      </w:r>
    </w:p>
    <w:p w14:paraId="70CDAF73" w14:textId="77777777" w:rsidR="003C60B3" w:rsidRPr="00CF6F18" w:rsidRDefault="003C60B3" w:rsidP="003C60B3"/>
    <w:p w14:paraId="1DD0C88A" w14:textId="77777777" w:rsidR="003C60B3" w:rsidRDefault="003C60B3" w:rsidP="003C60B3">
      <w:pPr>
        <w:pStyle w:val="Default"/>
        <w:jc w:val="both"/>
      </w:pPr>
      <w:r w:rsidRPr="00943FE9">
        <w:t xml:space="preserve">When information controlled by the organisation is to be shared automatically, systematically or regularly, an Information Sharing Agreement (ISA) should be considered. A record of Information Sharing Agreements will be held by the organisation and regular reviews by their owners will be </w:t>
      </w:r>
      <w:r w:rsidRPr="00943FE9">
        <w:lastRenderedPageBreak/>
        <w:t>coordinated by the Data Protection Officer. ISAs are, by their nature, unique to each set of data and signatories, but a template is held by the Data Protection Officer which outlines the basic requirements.</w:t>
      </w:r>
    </w:p>
    <w:p w14:paraId="6DAA100D" w14:textId="77777777" w:rsidR="003C60B3" w:rsidRPr="00943FE9" w:rsidRDefault="003C60B3" w:rsidP="003C60B3">
      <w:pPr>
        <w:pStyle w:val="Default"/>
        <w:jc w:val="both"/>
      </w:pPr>
    </w:p>
    <w:p w14:paraId="3036AC39" w14:textId="77777777" w:rsidR="003C60B3" w:rsidRDefault="003C60B3" w:rsidP="003C60B3">
      <w:pPr>
        <w:pStyle w:val="Heading2"/>
      </w:pPr>
      <w:r w:rsidRPr="00943FE9">
        <w:t>Sharing under the lawful basis of Vital Interests</w:t>
      </w:r>
    </w:p>
    <w:p w14:paraId="3C79D6F5" w14:textId="77777777" w:rsidR="003C60B3" w:rsidRPr="00CF6F18" w:rsidRDefault="003C60B3" w:rsidP="003C60B3"/>
    <w:p w14:paraId="29383D16" w14:textId="77777777" w:rsidR="003C60B3" w:rsidRDefault="003C60B3" w:rsidP="003C60B3">
      <w:pPr>
        <w:pStyle w:val="Default"/>
        <w:jc w:val="both"/>
      </w:pPr>
      <w:r w:rsidRPr="00943FE9">
        <w:t xml:space="preserve">Where information is requested in order to protect life, and a legal basis of “Vital Interests” is established, relevant information will be shared as soon as reasonably practicable outside of the usual protocols. A retrospective risk-assessment will be completed by the person sharing in conjunction with the Data Protection Officer and full records will be kept of the information shared and the rationale. </w:t>
      </w:r>
    </w:p>
    <w:p w14:paraId="57080CAD" w14:textId="77777777" w:rsidR="008746FB" w:rsidRDefault="008746FB" w:rsidP="003C60B3">
      <w:pPr>
        <w:pStyle w:val="Default"/>
        <w:jc w:val="both"/>
      </w:pPr>
    </w:p>
    <w:p w14:paraId="6ADB24DB" w14:textId="7F515B79" w:rsidR="008746FB" w:rsidRDefault="008746FB" w:rsidP="008746FB">
      <w:pPr>
        <w:pStyle w:val="Heading2"/>
      </w:pPr>
      <w:r>
        <w:t>Inaccurate or incomplete information</w:t>
      </w:r>
    </w:p>
    <w:p w14:paraId="6C51204F" w14:textId="0F1B7373" w:rsidR="008746FB" w:rsidRDefault="008746FB" w:rsidP="003C60B3">
      <w:pPr>
        <w:pStyle w:val="Default"/>
        <w:jc w:val="both"/>
      </w:pPr>
      <w:r>
        <w:t>Where the organisation is made aware that shared personal data is inaccurate or complete, each recipient should be contacted to inform them about the rectification unless this is impossible or involves disproportionate effort.</w:t>
      </w:r>
    </w:p>
    <w:p w14:paraId="5E539A3D" w14:textId="77777777" w:rsidR="00675F6C" w:rsidRDefault="00675F6C" w:rsidP="003C60B3">
      <w:pPr>
        <w:pStyle w:val="Default"/>
        <w:jc w:val="both"/>
      </w:pPr>
    </w:p>
    <w:p w14:paraId="48510474" w14:textId="07A7E907" w:rsidR="00675F6C" w:rsidRDefault="00675F6C" w:rsidP="00675F6C">
      <w:pPr>
        <w:pStyle w:val="Heading2"/>
      </w:pPr>
      <w:r>
        <w:t>Restriction of Processing</w:t>
      </w:r>
    </w:p>
    <w:p w14:paraId="16D5612E" w14:textId="334586BB" w:rsidR="00675F6C" w:rsidRDefault="00675F6C" w:rsidP="00675F6C">
      <w:pPr>
        <w:pStyle w:val="Default"/>
        <w:jc w:val="both"/>
      </w:pPr>
      <w:r>
        <w:t>Where the organisation is advised of a potential inaccuracy then the personal data in question must be restricted. This will ordinarily be done by removing it from live systems and placing it temporarily in a restricted folder or removing it from the website until an assessment has been made. Each recipient should be contacted to inform them about the restriction unless this is impossible or involves disproportionate effort.</w:t>
      </w:r>
    </w:p>
    <w:p w14:paraId="47F910A8" w14:textId="77777777" w:rsidR="008746FB" w:rsidRDefault="008746FB" w:rsidP="003C60B3">
      <w:pPr>
        <w:pStyle w:val="Default"/>
        <w:jc w:val="both"/>
      </w:pPr>
    </w:p>
    <w:p w14:paraId="6D8C44CA" w14:textId="3A92641D" w:rsidR="003C60B3" w:rsidRPr="00CA2EF8" w:rsidRDefault="00CA2EF8" w:rsidP="00CA2EF8">
      <w:pPr>
        <w:pStyle w:val="Heading2"/>
      </w:pPr>
      <w:r w:rsidRPr="00CA2EF8">
        <w:t>Data Transfer</w:t>
      </w:r>
    </w:p>
    <w:p w14:paraId="1D177D16" w14:textId="33D3E671" w:rsidR="00CA2EF8" w:rsidRPr="00CA2EF8" w:rsidRDefault="00CA2EF8" w:rsidP="00CA2EF8">
      <w:pPr>
        <w:pStyle w:val="Default"/>
        <w:jc w:val="both"/>
      </w:pPr>
      <w:r w:rsidRPr="00CA2EF8">
        <w:t>Wherever possible any shared data should be done using secure police IT systems.</w:t>
      </w:r>
      <w:r>
        <w:t xml:space="preserve"> Should information need to be transferred by post, then a courier or Royal Mail Special Delivery should be used, with the hard copy information “double bagged” so that handling information and sensitivity is not shown on the outer packaging.</w:t>
      </w:r>
    </w:p>
    <w:p w14:paraId="778CF4CC" w14:textId="4862CC39" w:rsidR="003C60B3" w:rsidRPr="003C60B3" w:rsidRDefault="003C60B3" w:rsidP="003C60B3">
      <w:pPr>
        <w:rPr>
          <w:rFonts w:ascii="Arial" w:hAnsi="Arial" w:cs="Arial"/>
          <w:sz w:val="24"/>
        </w:rPr>
      </w:pPr>
    </w:p>
    <w:p w14:paraId="1B09B438" w14:textId="77777777" w:rsidR="00675F6C" w:rsidRDefault="00675F6C">
      <w:pPr>
        <w:rPr>
          <w:rFonts w:ascii="Arial" w:eastAsia="Times New Roman" w:hAnsi="Arial" w:cs="Arial"/>
          <w:b/>
          <w:sz w:val="24"/>
          <w:szCs w:val="20"/>
          <w:lang w:eastAsia="en-GB"/>
        </w:rPr>
      </w:pPr>
      <w:r>
        <w:rPr>
          <w:rFonts w:cs="Arial"/>
          <w:sz w:val="24"/>
        </w:rPr>
        <w:br w:type="page"/>
      </w:r>
    </w:p>
    <w:p w14:paraId="759CB9BE" w14:textId="11418EA3" w:rsidR="003C60B3" w:rsidRDefault="003C60B3" w:rsidP="003C60B3">
      <w:pPr>
        <w:pStyle w:val="Heading1"/>
        <w:rPr>
          <w:rFonts w:cs="Arial"/>
          <w:sz w:val="24"/>
        </w:rPr>
      </w:pPr>
      <w:r w:rsidRPr="003C60B3">
        <w:rPr>
          <w:rFonts w:cs="Arial"/>
          <w:sz w:val="24"/>
        </w:rPr>
        <w:lastRenderedPageBreak/>
        <w:t>Freedom of Information</w:t>
      </w:r>
    </w:p>
    <w:p w14:paraId="1B6EC31E" w14:textId="77777777" w:rsidR="003C60B3" w:rsidRPr="003C60B3" w:rsidRDefault="003C60B3" w:rsidP="003C60B3">
      <w:pPr>
        <w:rPr>
          <w:lang w:eastAsia="en-GB"/>
        </w:rPr>
      </w:pPr>
    </w:p>
    <w:p w14:paraId="188E9A4C" w14:textId="77777777" w:rsidR="003C60B3" w:rsidRPr="003C60B3" w:rsidRDefault="003C60B3" w:rsidP="003C60B3">
      <w:pPr>
        <w:rPr>
          <w:rFonts w:ascii="Arial" w:hAnsi="Arial" w:cs="Arial"/>
          <w:sz w:val="24"/>
        </w:rPr>
      </w:pPr>
      <w:r w:rsidRPr="003C60B3">
        <w:rPr>
          <w:rFonts w:ascii="Arial" w:hAnsi="Arial" w:cs="Arial"/>
          <w:sz w:val="24"/>
        </w:rPr>
        <w:t>The Freedom of Information Act (FOIA) imposes a duty for a public body:</w:t>
      </w:r>
    </w:p>
    <w:p w14:paraId="31C21B38" w14:textId="77777777" w:rsidR="003C60B3" w:rsidRPr="003C60B3" w:rsidRDefault="003C60B3" w:rsidP="003C60B3">
      <w:pPr>
        <w:pStyle w:val="ListParagraph"/>
        <w:numPr>
          <w:ilvl w:val="0"/>
          <w:numId w:val="20"/>
        </w:numPr>
        <w:spacing w:after="4" w:line="248" w:lineRule="auto"/>
        <w:rPr>
          <w:rFonts w:ascii="Arial" w:hAnsi="Arial" w:cs="Arial"/>
          <w:sz w:val="32"/>
          <w:u w:val="single" w:color="000000"/>
        </w:rPr>
      </w:pPr>
      <w:r w:rsidRPr="003C60B3">
        <w:rPr>
          <w:rFonts w:ascii="Arial" w:hAnsi="Arial" w:cs="Arial"/>
          <w:sz w:val="24"/>
        </w:rPr>
        <w:t>To confirm or deny that the information requested is held.</w:t>
      </w:r>
    </w:p>
    <w:p w14:paraId="1BDD06B1" w14:textId="67C827DB" w:rsidR="003C60B3" w:rsidRPr="003C60B3" w:rsidRDefault="003C60B3" w:rsidP="003C60B3">
      <w:pPr>
        <w:pStyle w:val="ListParagraph"/>
        <w:numPr>
          <w:ilvl w:val="0"/>
          <w:numId w:val="20"/>
        </w:numPr>
        <w:spacing w:after="4" w:line="248" w:lineRule="auto"/>
        <w:rPr>
          <w:rFonts w:ascii="Arial" w:hAnsi="Arial" w:cs="Arial"/>
          <w:sz w:val="32"/>
          <w:u w:val="single" w:color="000000"/>
        </w:rPr>
      </w:pPr>
      <w:r w:rsidRPr="003C60B3">
        <w:rPr>
          <w:rFonts w:ascii="Arial" w:hAnsi="Arial" w:cs="Arial"/>
          <w:sz w:val="24"/>
        </w:rPr>
        <w:t>If the information is held, to communicate it to the applicant</w:t>
      </w:r>
    </w:p>
    <w:p w14:paraId="53340AD3" w14:textId="04ADEB88" w:rsidR="003C60B3" w:rsidRPr="003C60B3" w:rsidRDefault="003C60B3" w:rsidP="003C60B3">
      <w:pPr>
        <w:rPr>
          <w:rFonts w:ascii="Arial" w:hAnsi="Arial" w:cs="Arial"/>
          <w:sz w:val="24"/>
        </w:rPr>
      </w:pPr>
      <w:r w:rsidRPr="003C60B3">
        <w:rPr>
          <w:rFonts w:ascii="Arial" w:hAnsi="Arial" w:cs="Arial"/>
          <w:sz w:val="24"/>
        </w:rPr>
        <w:t>Anyone may make a request for recorded information held by or on behalf of the Office of the Police and Crime Commissioner (OPCC). The OPCC must reply within 20 days unless an exemption applies.</w:t>
      </w:r>
    </w:p>
    <w:p w14:paraId="0E902FA0" w14:textId="77777777" w:rsidR="003C60B3" w:rsidRPr="003C60B3" w:rsidRDefault="003C60B3" w:rsidP="003C60B3">
      <w:pPr>
        <w:pStyle w:val="Heading2"/>
        <w:jc w:val="left"/>
        <w:rPr>
          <w:rFonts w:cs="Arial"/>
          <w:sz w:val="24"/>
        </w:rPr>
      </w:pPr>
      <w:r w:rsidRPr="003C60B3">
        <w:rPr>
          <w:rFonts w:cs="Arial"/>
          <w:sz w:val="24"/>
        </w:rPr>
        <w:t>Roles and Responsibilities</w:t>
      </w:r>
    </w:p>
    <w:p w14:paraId="4C7FC0FA" w14:textId="77777777" w:rsidR="003C60B3" w:rsidRPr="003C60B3" w:rsidRDefault="003C60B3" w:rsidP="003C60B3">
      <w:pPr>
        <w:pStyle w:val="Heading2"/>
        <w:rPr>
          <w:rFonts w:cs="Arial"/>
          <w:sz w:val="24"/>
        </w:rPr>
      </w:pPr>
    </w:p>
    <w:p w14:paraId="139A893F" w14:textId="1F317442" w:rsidR="003C60B3" w:rsidRPr="003C60B3" w:rsidRDefault="003C60B3" w:rsidP="003C60B3">
      <w:pPr>
        <w:rPr>
          <w:rFonts w:ascii="Arial" w:hAnsi="Arial" w:cs="Arial"/>
          <w:sz w:val="24"/>
        </w:rPr>
      </w:pPr>
      <w:r w:rsidRPr="003C60B3">
        <w:rPr>
          <w:rFonts w:ascii="Arial" w:hAnsi="Arial" w:cs="Arial"/>
          <w:sz w:val="24"/>
        </w:rPr>
        <w:t>All staff are responsible for ensuring that any request for information they receive is dealt with in compliance with this policy. The Statutory Operations Manager coordinates all requests for information.</w:t>
      </w:r>
    </w:p>
    <w:p w14:paraId="6C82B744" w14:textId="4745D620" w:rsidR="003C60B3" w:rsidRPr="003C60B3" w:rsidRDefault="003C60B3" w:rsidP="003C60B3">
      <w:pPr>
        <w:rPr>
          <w:rFonts w:ascii="Arial" w:hAnsi="Arial" w:cs="Arial"/>
          <w:sz w:val="24"/>
        </w:rPr>
      </w:pPr>
      <w:r w:rsidRPr="003C60B3">
        <w:rPr>
          <w:rFonts w:ascii="Arial" w:hAnsi="Arial" w:cs="Arial"/>
          <w:sz w:val="24"/>
        </w:rPr>
        <w:t>The CEO will act as the Qualified person in the event of a potential Section 36 exemption.</w:t>
      </w:r>
    </w:p>
    <w:p w14:paraId="6DBDAA1B" w14:textId="77777777" w:rsidR="003C60B3" w:rsidRPr="003C60B3" w:rsidRDefault="003C60B3" w:rsidP="003C60B3">
      <w:pPr>
        <w:pStyle w:val="Heading2"/>
        <w:jc w:val="left"/>
        <w:rPr>
          <w:rFonts w:cs="Arial"/>
          <w:sz w:val="24"/>
        </w:rPr>
      </w:pPr>
      <w:r w:rsidRPr="003C60B3">
        <w:rPr>
          <w:rFonts w:cs="Arial"/>
          <w:sz w:val="24"/>
        </w:rPr>
        <w:t>Publication Scheme</w:t>
      </w:r>
    </w:p>
    <w:p w14:paraId="2033B822" w14:textId="77777777" w:rsidR="003C60B3" w:rsidRPr="003C60B3" w:rsidRDefault="003C60B3" w:rsidP="003C60B3">
      <w:pPr>
        <w:pStyle w:val="Heading2"/>
        <w:rPr>
          <w:rFonts w:cs="Arial"/>
          <w:sz w:val="24"/>
        </w:rPr>
      </w:pPr>
    </w:p>
    <w:p w14:paraId="58889C06" w14:textId="5D3474C5" w:rsidR="003C60B3" w:rsidRPr="003C60B3" w:rsidRDefault="003C60B3" w:rsidP="003C60B3">
      <w:pPr>
        <w:rPr>
          <w:rFonts w:ascii="Arial" w:hAnsi="Arial" w:cs="Arial"/>
          <w:sz w:val="24"/>
        </w:rPr>
      </w:pPr>
      <w:r w:rsidRPr="003C60B3">
        <w:rPr>
          <w:rFonts w:ascii="Arial" w:hAnsi="Arial" w:cs="Arial"/>
          <w:sz w:val="24"/>
        </w:rPr>
        <w:t>The OPCC maintains a publication scheme, listing the classes of information and the documents that it routinely publishes or intends to publish. The publication scheme will be on the OPCC website and reviewed as appropriate.</w:t>
      </w:r>
    </w:p>
    <w:p w14:paraId="403F1C58" w14:textId="4070A007" w:rsidR="003C60B3" w:rsidRPr="003C60B3" w:rsidRDefault="003C60B3" w:rsidP="003C60B3">
      <w:pPr>
        <w:pStyle w:val="Heading2"/>
        <w:jc w:val="left"/>
        <w:rPr>
          <w:rFonts w:cs="Arial"/>
          <w:sz w:val="24"/>
        </w:rPr>
      </w:pPr>
      <w:r w:rsidRPr="003C60B3">
        <w:rPr>
          <w:rFonts w:cs="Arial"/>
          <w:sz w:val="24"/>
        </w:rPr>
        <w:t>Handling and Tracking of Requests</w:t>
      </w:r>
    </w:p>
    <w:p w14:paraId="502F3C40" w14:textId="77777777" w:rsidR="003C60B3" w:rsidRPr="003C60B3" w:rsidRDefault="003C60B3" w:rsidP="003C60B3">
      <w:pPr>
        <w:rPr>
          <w:rFonts w:ascii="Arial" w:hAnsi="Arial" w:cs="Arial"/>
          <w:sz w:val="24"/>
        </w:rPr>
      </w:pPr>
      <w:r w:rsidRPr="003C60B3">
        <w:rPr>
          <w:rFonts w:ascii="Arial" w:hAnsi="Arial" w:cs="Arial"/>
          <w:sz w:val="24"/>
        </w:rPr>
        <w:t>The dedicated routes for valid information requests are:</w:t>
      </w:r>
    </w:p>
    <w:p w14:paraId="3F274CC0" w14:textId="77777777" w:rsidR="003C60B3" w:rsidRPr="003C60B3" w:rsidRDefault="003C60B3" w:rsidP="003C60B3">
      <w:pPr>
        <w:pStyle w:val="ListParagraph"/>
        <w:numPr>
          <w:ilvl w:val="0"/>
          <w:numId w:val="19"/>
        </w:numPr>
        <w:spacing w:after="4" w:line="248" w:lineRule="auto"/>
        <w:rPr>
          <w:rFonts w:ascii="Arial" w:hAnsi="Arial" w:cs="Arial"/>
          <w:sz w:val="32"/>
          <w:u w:color="000000"/>
        </w:rPr>
      </w:pPr>
      <w:r w:rsidRPr="003C60B3">
        <w:rPr>
          <w:rFonts w:ascii="Arial" w:hAnsi="Arial" w:cs="Arial"/>
          <w:sz w:val="24"/>
        </w:rPr>
        <w:t xml:space="preserve">The email address </w:t>
      </w:r>
      <w:hyperlink r:id="rId11" w:history="1">
        <w:r w:rsidRPr="003C60B3">
          <w:rPr>
            <w:rStyle w:val="Hyperlink"/>
            <w:rFonts w:ascii="Arial" w:hAnsi="Arial" w:cs="Arial"/>
            <w:sz w:val="24"/>
          </w:rPr>
          <w:t>pcc@humberside.pnn.police.uk</w:t>
        </w:r>
      </w:hyperlink>
    </w:p>
    <w:p w14:paraId="7262F214" w14:textId="0236E095" w:rsidR="003C60B3" w:rsidRPr="003C60B3" w:rsidRDefault="003C60B3" w:rsidP="003C60B3">
      <w:pPr>
        <w:pStyle w:val="ListParagraph"/>
        <w:numPr>
          <w:ilvl w:val="0"/>
          <w:numId w:val="19"/>
        </w:numPr>
        <w:spacing w:after="4" w:line="248" w:lineRule="auto"/>
        <w:rPr>
          <w:rFonts w:ascii="Arial" w:hAnsi="Arial" w:cs="Arial"/>
          <w:sz w:val="32"/>
          <w:u w:color="000000"/>
        </w:rPr>
      </w:pPr>
      <w:r w:rsidRPr="003C60B3">
        <w:rPr>
          <w:rFonts w:ascii="Arial" w:hAnsi="Arial" w:cs="Arial"/>
          <w:sz w:val="24"/>
        </w:rPr>
        <w:t>By post to:</w:t>
      </w:r>
    </w:p>
    <w:p w14:paraId="58EDDF6D" w14:textId="77777777" w:rsidR="003C60B3" w:rsidRPr="003C60B3" w:rsidRDefault="003C60B3" w:rsidP="003C60B3">
      <w:pPr>
        <w:ind w:firstLine="710"/>
        <w:rPr>
          <w:rFonts w:ascii="Arial" w:hAnsi="Arial" w:cs="Arial"/>
          <w:b/>
          <w:bCs/>
          <w:szCs w:val="20"/>
        </w:rPr>
      </w:pPr>
      <w:r w:rsidRPr="003C60B3">
        <w:rPr>
          <w:rFonts w:ascii="Arial" w:hAnsi="Arial" w:cs="Arial"/>
          <w:sz w:val="24"/>
        </w:rPr>
        <w:t xml:space="preserve">Office of the Police and Crime Commissioner for Humberside </w:t>
      </w:r>
    </w:p>
    <w:p w14:paraId="38A143AC" w14:textId="77777777" w:rsidR="003C60B3" w:rsidRPr="003C60B3" w:rsidRDefault="003C60B3" w:rsidP="003C60B3">
      <w:pPr>
        <w:ind w:firstLine="720"/>
        <w:rPr>
          <w:rFonts w:ascii="Arial" w:hAnsi="Arial" w:cs="Arial"/>
          <w:sz w:val="24"/>
        </w:rPr>
      </w:pPr>
      <w:r w:rsidRPr="003C60B3">
        <w:rPr>
          <w:rFonts w:ascii="Arial" w:hAnsi="Arial" w:cs="Arial"/>
          <w:sz w:val="24"/>
        </w:rPr>
        <w:t xml:space="preserve">The Lawns </w:t>
      </w:r>
    </w:p>
    <w:p w14:paraId="1DADE69E" w14:textId="77777777" w:rsidR="003C60B3" w:rsidRPr="003C60B3" w:rsidRDefault="003C60B3" w:rsidP="003C60B3">
      <w:pPr>
        <w:ind w:firstLine="720"/>
        <w:rPr>
          <w:rFonts w:ascii="Arial" w:hAnsi="Arial" w:cs="Arial"/>
          <w:sz w:val="24"/>
        </w:rPr>
      </w:pPr>
      <w:r w:rsidRPr="003C60B3">
        <w:rPr>
          <w:rFonts w:ascii="Arial" w:hAnsi="Arial" w:cs="Arial"/>
          <w:sz w:val="24"/>
        </w:rPr>
        <w:t xml:space="preserve">Harland Way </w:t>
      </w:r>
    </w:p>
    <w:p w14:paraId="3374F9AA" w14:textId="77777777" w:rsidR="003C60B3" w:rsidRPr="003C60B3" w:rsidRDefault="003C60B3" w:rsidP="003C60B3">
      <w:pPr>
        <w:ind w:firstLine="720"/>
        <w:rPr>
          <w:rFonts w:ascii="Arial" w:hAnsi="Arial" w:cs="Arial"/>
          <w:sz w:val="24"/>
        </w:rPr>
      </w:pPr>
      <w:r w:rsidRPr="003C60B3">
        <w:rPr>
          <w:rFonts w:ascii="Arial" w:hAnsi="Arial" w:cs="Arial"/>
          <w:sz w:val="24"/>
        </w:rPr>
        <w:t xml:space="preserve">Cottingham </w:t>
      </w:r>
    </w:p>
    <w:p w14:paraId="299AC66D" w14:textId="77777777" w:rsidR="003C60B3" w:rsidRPr="003C60B3" w:rsidRDefault="003C60B3" w:rsidP="003C60B3">
      <w:pPr>
        <w:ind w:firstLine="720"/>
        <w:rPr>
          <w:rFonts w:ascii="Arial" w:hAnsi="Arial" w:cs="Arial"/>
          <w:sz w:val="24"/>
        </w:rPr>
      </w:pPr>
      <w:r w:rsidRPr="003C60B3">
        <w:rPr>
          <w:rFonts w:ascii="Arial" w:hAnsi="Arial" w:cs="Arial"/>
          <w:sz w:val="24"/>
        </w:rPr>
        <w:t xml:space="preserve">East Yorkshire </w:t>
      </w:r>
    </w:p>
    <w:p w14:paraId="6FA2032C" w14:textId="098BD331" w:rsidR="003C60B3" w:rsidRPr="003C60B3" w:rsidRDefault="003C60B3" w:rsidP="003C60B3">
      <w:pPr>
        <w:ind w:firstLine="720"/>
        <w:rPr>
          <w:rFonts w:ascii="Arial" w:hAnsi="Arial" w:cs="Arial"/>
          <w:sz w:val="24"/>
        </w:rPr>
      </w:pPr>
      <w:r w:rsidRPr="003C60B3">
        <w:rPr>
          <w:rFonts w:ascii="Arial" w:hAnsi="Arial" w:cs="Arial"/>
          <w:sz w:val="24"/>
        </w:rPr>
        <w:t>HU16 5SN</w:t>
      </w:r>
    </w:p>
    <w:p w14:paraId="55CF3CFB" w14:textId="5431A649" w:rsidR="003C60B3" w:rsidRPr="003C60B3" w:rsidRDefault="003C60B3" w:rsidP="003C60B3">
      <w:pPr>
        <w:rPr>
          <w:rFonts w:ascii="Arial" w:hAnsi="Arial" w:cs="Arial"/>
          <w:sz w:val="24"/>
        </w:rPr>
      </w:pPr>
      <w:r w:rsidRPr="003C60B3">
        <w:rPr>
          <w:rFonts w:ascii="Arial" w:hAnsi="Arial" w:cs="Arial"/>
          <w:sz w:val="24"/>
        </w:rPr>
        <w:t>All FOIA requests will be logged and tracked by the Statutory Operations Manager. This will aid identification of repeat, similar or vexatious requests and inform the development of the publication scheme.</w:t>
      </w:r>
    </w:p>
    <w:p w14:paraId="0A63523D" w14:textId="77777777" w:rsidR="003C60B3" w:rsidRPr="003C60B3" w:rsidRDefault="003C60B3" w:rsidP="003C60B3">
      <w:pPr>
        <w:rPr>
          <w:rFonts w:ascii="Arial" w:hAnsi="Arial" w:cs="Arial"/>
          <w:sz w:val="24"/>
        </w:rPr>
      </w:pPr>
      <w:r w:rsidRPr="003C60B3">
        <w:rPr>
          <w:rFonts w:ascii="Arial" w:hAnsi="Arial" w:cs="Arial"/>
          <w:sz w:val="24"/>
        </w:rPr>
        <w:t>Where there is reason to believe that some or all of the information requested is held by another public body, the OPCC will contact the applicant and, where possible, provide information about where to redirect the request. Under no circumstances will a person’s request (and therefore their personal data) be forwarded direct to another organisation without their prior consent.</w:t>
      </w:r>
    </w:p>
    <w:p w14:paraId="1D5B5606" w14:textId="5CC3C14E" w:rsidR="003C60B3" w:rsidRPr="003C60B3" w:rsidRDefault="003C60B3" w:rsidP="003C60B3">
      <w:pPr>
        <w:pStyle w:val="Heading2"/>
        <w:jc w:val="left"/>
        <w:rPr>
          <w:rFonts w:cs="Arial"/>
          <w:sz w:val="24"/>
        </w:rPr>
      </w:pPr>
      <w:r w:rsidRPr="003C60B3">
        <w:rPr>
          <w:rFonts w:cs="Arial"/>
          <w:sz w:val="24"/>
        </w:rPr>
        <w:lastRenderedPageBreak/>
        <w:t>Exemptions and the Public Interest Test</w:t>
      </w:r>
    </w:p>
    <w:p w14:paraId="32301246" w14:textId="53FFEBE3" w:rsidR="003C60B3" w:rsidRPr="003C60B3" w:rsidRDefault="003C60B3" w:rsidP="003C60B3">
      <w:pPr>
        <w:rPr>
          <w:rFonts w:ascii="Arial" w:hAnsi="Arial" w:cs="Arial"/>
          <w:sz w:val="24"/>
        </w:rPr>
      </w:pPr>
      <w:r w:rsidRPr="003C60B3">
        <w:rPr>
          <w:rFonts w:ascii="Arial" w:hAnsi="Arial" w:cs="Arial"/>
          <w:sz w:val="24"/>
        </w:rPr>
        <w:t>There are 23 exemptions from the right of access. Eight are designated ‘absolute’, meaning that if one applies there is no further need to consider the request. The others are known as ‘qualified’ exemptions and require a public interest test to be applied. This considers whether the public interest in withholding the information outweighs the public interest in disclosing it.</w:t>
      </w:r>
    </w:p>
    <w:p w14:paraId="3B44D418" w14:textId="1C0936CA" w:rsidR="003C60B3" w:rsidRPr="003C60B3" w:rsidRDefault="003C60B3" w:rsidP="003C60B3">
      <w:pPr>
        <w:rPr>
          <w:rFonts w:ascii="Arial" w:hAnsi="Arial" w:cs="Arial"/>
          <w:sz w:val="24"/>
        </w:rPr>
      </w:pPr>
      <w:r w:rsidRPr="003C60B3">
        <w:rPr>
          <w:rFonts w:ascii="Arial" w:hAnsi="Arial" w:cs="Arial"/>
          <w:sz w:val="24"/>
        </w:rPr>
        <w:t>Where an exemption is deemed to apply to some or all of the information requested, the applicant will be notified in writing. The relevant exemption will be cited, and any information that is not exempt will be provided.</w:t>
      </w:r>
    </w:p>
    <w:p w14:paraId="6617A34F" w14:textId="28879643" w:rsidR="003C60B3" w:rsidRPr="003C60B3" w:rsidRDefault="003C60B3" w:rsidP="003C60B3">
      <w:pPr>
        <w:rPr>
          <w:rFonts w:ascii="Arial" w:hAnsi="Arial" w:cs="Arial"/>
          <w:sz w:val="24"/>
        </w:rPr>
      </w:pPr>
      <w:r w:rsidRPr="003C60B3">
        <w:rPr>
          <w:rFonts w:ascii="Arial" w:hAnsi="Arial" w:cs="Arial"/>
          <w:sz w:val="24"/>
        </w:rPr>
        <w:t>Where a qualified exemption is being considered, the OPCC must conduct a public interest test to determine if it is in the public interest to release the information. The force FOI team may be consulted for an opinion.</w:t>
      </w:r>
    </w:p>
    <w:p w14:paraId="5A3B7B78" w14:textId="749C48A0" w:rsidR="003C60B3" w:rsidRPr="003C60B3" w:rsidRDefault="003C60B3" w:rsidP="003C60B3">
      <w:pPr>
        <w:rPr>
          <w:rFonts w:ascii="Arial" w:hAnsi="Arial" w:cs="Arial"/>
          <w:sz w:val="24"/>
        </w:rPr>
      </w:pPr>
      <w:r w:rsidRPr="003C60B3">
        <w:rPr>
          <w:rFonts w:ascii="Arial" w:hAnsi="Arial" w:cs="Arial"/>
          <w:sz w:val="24"/>
        </w:rPr>
        <w:t>In determining whether disclosure would be likely to prejudice the conduct of public affairs (Section 36 of the Act), the designate Qualified Person will decide on disclosure. If legal advice is thought to be necessary, it will be sought by the Chief Executive.</w:t>
      </w:r>
    </w:p>
    <w:p w14:paraId="1F28BB51" w14:textId="77777777" w:rsidR="003C60B3" w:rsidRPr="003C60B3" w:rsidRDefault="003C60B3" w:rsidP="003C60B3">
      <w:pPr>
        <w:rPr>
          <w:rFonts w:ascii="Arial" w:hAnsi="Arial" w:cs="Arial"/>
          <w:sz w:val="24"/>
        </w:rPr>
      </w:pPr>
    </w:p>
    <w:p w14:paraId="144E3B83" w14:textId="06488152" w:rsidR="003C60B3" w:rsidRPr="003C60B3" w:rsidRDefault="003C60B3" w:rsidP="003C60B3">
      <w:pPr>
        <w:pStyle w:val="Heading2"/>
        <w:jc w:val="left"/>
        <w:rPr>
          <w:rFonts w:cs="Arial"/>
          <w:sz w:val="24"/>
        </w:rPr>
      </w:pPr>
      <w:r w:rsidRPr="003C60B3">
        <w:rPr>
          <w:rFonts w:cs="Arial"/>
          <w:sz w:val="24"/>
        </w:rPr>
        <w:t>Fees</w:t>
      </w:r>
    </w:p>
    <w:p w14:paraId="7A9B4F84" w14:textId="2A9B1C7C" w:rsidR="003C60B3" w:rsidRPr="003C60B3" w:rsidRDefault="003C60B3" w:rsidP="003C60B3">
      <w:pPr>
        <w:rPr>
          <w:rFonts w:ascii="Arial" w:hAnsi="Arial" w:cs="Arial"/>
          <w:sz w:val="24"/>
        </w:rPr>
      </w:pPr>
      <w:r w:rsidRPr="003C60B3">
        <w:rPr>
          <w:rFonts w:ascii="Arial" w:hAnsi="Arial" w:cs="Arial"/>
          <w:sz w:val="24"/>
        </w:rPr>
        <w:t>The OPCC will follow the Freedom of Information (Appropriate Limits and Fees) Regulations 2004. Accordingly all requests that cost less than £450 to process (the ‘appropriate limit’ – 18 hours at £25 per hour) will be complied with free of charge. Where we estimate that complying with a request would exceed the appropriate limit we will try to assist applicants to make a more refined request within the limit.</w:t>
      </w:r>
    </w:p>
    <w:p w14:paraId="79352139" w14:textId="5CDBC332" w:rsidR="003C60B3" w:rsidRPr="003C60B3" w:rsidRDefault="003C60B3" w:rsidP="003C60B3">
      <w:pPr>
        <w:rPr>
          <w:rFonts w:ascii="Arial" w:hAnsi="Arial" w:cs="Arial"/>
          <w:sz w:val="24"/>
        </w:rPr>
      </w:pPr>
      <w:r w:rsidRPr="003C60B3">
        <w:rPr>
          <w:rFonts w:ascii="Arial" w:hAnsi="Arial" w:cs="Arial"/>
          <w:sz w:val="24"/>
        </w:rPr>
        <w:t>Information that is published under the Publication scheme will not be charged for.</w:t>
      </w:r>
    </w:p>
    <w:p w14:paraId="75DC4AA6" w14:textId="77777777" w:rsidR="003C60B3" w:rsidRPr="003C60B3" w:rsidRDefault="003C60B3" w:rsidP="003C60B3">
      <w:pPr>
        <w:rPr>
          <w:rFonts w:ascii="Arial" w:hAnsi="Arial" w:cs="Arial"/>
          <w:sz w:val="24"/>
        </w:rPr>
      </w:pPr>
    </w:p>
    <w:p w14:paraId="135C12F4" w14:textId="2695D2C6" w:rsidR="003C60B3" w:rsidRPr="003C60B3" w:rsidRDefault="003C60B3" w:rsidP="003C60B3">
      <w:pPr>
        <w:pStyle w:val="Heading2"/>
        <w:jc w:val="left"/>
        <w:rPr>
          <w:rFonts w:cs="Arial"/>
          <w:sz w:val="24"/>
        </w:rPr>
      </w:pPr>
      <w:r w:rsidRPr="003C60B3">
        <w:rPr>
          <w:rFonts w:cs="Arial"/>
          <w:sz w:val="24"/>
        </w:rPr>
        <w:t>Complaints</w:t>
      </w:r>
    </w:p>
    <w:p w14:paraId="4E4FD0E3" w14:textId="77777777" w:rsidR="003C60B3" w:rsidRPr="003C60B3" w:rsidRDefault="003C60B3" w:rsidP="003C60B3">
      <w:pPr>
        <w:rPr>
          <w:rFonts w:ascii="Arial" w:hAnsi="Arial" w:cs="Arial"/>
          <w:sz w:val="24"/>
        </w:rPr>
      </w:pPr>
      <w:r w:rsidRPr="003C60B3">
        <w:rPr>
          <w:rFonts w:ascii="Arial" w:hAnsi="Arial" w:cs="Arial"/>
          <w:sz w:val="24"/>
        </w:rPr>
        <w:t>Anyone who has made a request for information to the OPCC under the FOIA is entitled to request an internal review if they are unhappy with the way their request has been handled. Internal reviews will be carried out by a senior member of staff who was not involved in the original decision. The internal review will consider whether the request was handled appropriately in line with the FOIA.</w:t>
      </w:r>
    </w:p>
    <w:p w14:paraId="670D81C8" w14:textId="77777777" w:rsidR="003C60B3" w:rsidRPr="003C60B3" w:rsidRDefault="003C60B3" w:rsidP="003C60B3">
      <w:pPr>
        <w:rPr>
          <w:rFonts w:ascii="Arial" w:hAnsi="Arial" w:cs="Arial"/>
          <w:sz w:val="24"/>
        </w:rPr>
      </w:pPr>
    </w:p>
    <w:p w14:paraId="0C38D663" w14:textId="77777777" w:rsidR="003C60B3" w:rsidRPr="003C60B3" w:rsidRDefault="003C60B3" w:rsidP="003C60B3">
      <w:pPr>
        <w:rPr>
          <w:rFonts w:ascii="Arial" w:hAnsi="Arial" w:cs="Arial"/>
          <w:sz w:val="24"/>
        </w:rPr>
      </w:pPr>
      <w:r w:rsidRPr="003C60B3">
        <w:rPr>
          <w:rFonts w:ascii="Arial" w:hAnsi="Arial" w:cs="Arial"/>
          <w:sz w:val="24"/>
        </w:rPr>
        <w:t>Applicants can make a request for an internal review within 40 days of the OPCC’s response to their request. We will aim to respond to internal reviews within 15 working days of receipt.</w:t>
      </w:r>
    </w:p>
    <w:p w14:paraId="7B8549AF" w14:textId="77777777" w:rsidR="003C60B3" w:rsidRPr="003C60B3" w:rsidRDefault="003C60B3" w:rsidP="003C60B3">
      <w:pPr>
        <w:rPr>
          <w:rFonts w:ascii="Arial" w:hAnsi="Arial" w:cs="Arial"/>
          <w:sz w:val="24"/>
        </w:rPr>
      </w:pPr>
    </w:p>
    <w:p w14:paraId="4368C7D8" w14:textId="77777777" w:rsidR="003C60B3" w:rsidRPr="003C60B3" w:rsidRDefault="003C60B3" w:rsidP="003C60B3">
      <w:pPr>
        <w:rPr>
          <w:rFonts w:ascii="Arial" w:hAnsi="Arial" w:cs="Arial"/>
          <w:sz w:val="24"/>
        </w:rPr>
      </w:pPr>
      <w:r w:rsidRPr="003C60B3">
        <w:rPr>
          <w:rFonts w:ascii="Arial" w:hAnsi="Arial" w:cs="Arial"/>
          <w:sz w:val="24"/>
        </w:rPr>
        <w:t>If dissatisfied with the outcome of the internal review, the applicant may appeal to the Information Commissioner who has powers to uphold or overturn the decision.</w:t>
      </w:r>
    </w:p>
    <w:p w14:paraId="25C77A51" w14:textId="77777777" w:rsidR="003C60B3" w:rsidRPr="004E26D1" w:rsidRDefault="003C60B3" w:rsidP="003C60B3">
      <w:pPr>
        <w:rPr>
          <w:sz w:val="28"/>
          <w:u w:color="000000"/>
        </w:rPr>
      </w:pPr>
      <w:r>
        <w:br w:type="page"/>
      </w:r>
    </w:p>
    <w:p w14:paraId="66F50982" w14:textId="77777777" w:rsidR="003C60B3" w:rsidRPr="003C60B3" w:rsidRDefault="003C60B3" w:rsidP="003C60B3">
      <w:pPr>
        <w:pStyle w:val="Heading1"/>
        <w:rPr>
          <w:rFonts w:cs="Arial"/>
          <w:sz w:val="24"/>
        </w:rPr>
      </w:pPr>
      <w:r w:rsidRPr="003C60B3">
        <w:rPr>
          <w:rFonts w:cs="Arial"/>
          <w:sz w:val="24"/>
        </w:rPr>
        <w:lastRenderedPageBreak/>
        <w:t xml:space="preserve">Reporting of data security breaches to the ICO </w:t>
      </w:r>
    </w:p>
    <w:p w14:paraId="617AAE5F" w14:textId="77777777" w:rsidR="003C60B3" w:rsidRPr="003C60B3" w:rsidRDefault="003C60B3" w:rsidP="003C60B3">
      <w:pPr>
        <w:spacing w:after="0"/>
        <w:rPr>
          <w:rFonts w:ascii="Arial" w:hAnsi="Arial" w:cs="Arial"/>
          <w:sz w:val="24"/>
        </w:rPr>
      </w:pPr>
      <w:r w:rsidRPr="003C60B3">
        <w:rPr>
          <w:rFonts w:ascii="Arial" w:hAnsi="Arial" w:cs="Arial"/>
          <w:b/>
          <w:sz w:val="24"/>
        </w:rPr>
        <w:t xml:space="preserve"> </w:t>
      </w:r>
    </w:p>
    <w:p w14:paraId="3A804CCD" w14:textId="7DD2A18C" w:rsidR="003C60B3" w:rsidRPr="00A16CF7" w:rsidRDefault="003C60B3" w:rsidP="003C60B3">
      <w:pPr>
        <w:ind w:left="-5"/>
        <w:rPr>
          <w:rStyle w:val="Hyperlink"/>
          <w:rFonts w:ascii="Arial" w:hAnsi="Arial" w:cs="Arial"/>
          <w:sz w:val="24"/>
        </w:rPr>
      </w:pPr>
      <w:r w:rsidRPr="003C60B3">
        <w:rPr>
          <w:rFonts w:ascii="Arial" w:hAnsi="Arial" w:cs="Arial"/>
          <w:sz w:val="24"/>
        </w:rPr>
        <w:t>This section provides guidance to The Office of the Police and Crime Commissioner for Humberside and a decision making process for notifying the Information Commissioner’s Office (ICO) in the event of the loss, theft, unauthorised disclosure or compromise of personal data. It should be read in conjunction with the</w:t>
      </w:r>
      <w:r w:rsidR="00A16CF7">
        <w:rPr>
          <w:rFonts w:ascii="Arial" w:hAnsi="Arial" w:cs="Arial"/>
          <w:color w:val="0070C0"/>
          <w:sz w:val="24"/>
        </w:rPr>
        <w:fldChar w:fldCharType="begin"/>
      </w:r>
      <w:r w:rsidR="00A16CF7">
        <w:rPr>
          <w:rFonts w:ascii="Arial" w:hAnsi="Arial" w:cs="Arial"/>
          <w:color w:val="0070C0"/>
          <w:sz w:val="24"/>
        </w:rPr>
        <w:instrText xml:space="preserve"> HYPERLINK "https://ico.org.uk/media/for-organisations/documents/1536/breach_reporting.pdf" </w:instrText>
      </w:r>
      <w:r w:rsidR="00A16CF7">
        <w:rPr>
          <w:rFonts w:ascii="Arial" w:hAnsi="Arial" w:cs="Arial"/>
          <w:color w:val="0070C0"/>
          <w:sz w:val="24"/>
        </w:rPr>
      </w:r>
      <w:r w:rsidR="00A16CF7">
        <w:rPr>
          <w:rFonts w:ascii="Arial" w:hAnsi="Arial" w:cs="Arial"/>
          <w:color w:val="0070C0"/>
          <w:sz w:val="24"/>
        </w:rPr>
        <w:fldChar w:fldCharType="separate"/>
      </w:r>
      <w:r w:rsidRPr="00A16CF7">
        <w:rPr>
          <w:rStyle w:val="Hyperlink"/>
          <w:rFonts w:ascii="Arial" w:hAnsi="Arial" w:cs="Arial"/>
          <w:sz w:val="24"/>
        </w:rPr>
        <w:t xml:space="preserve"> ICO's guidance on notifying data security breaches.</w:t>
      </w:r>
    </w:p>
    <w:p w14:paraId="670F2997" w14:textId="77777777" w:rsidR="003C60B3" w:rsidRPr="00A16CF7" w:rsidRDefault="003C60B3" w:rsidP="003C60B3">
      <w:pPr>
        <w:ind w:left="-5"/>
        <w:rPr>
          <w:rStyle w:val="Hyperlink"/>
          <w:rFonts w:ascii="Arial" w:hAnsi="Arial" w:cs="Arial"/>
          <w:sz w:val="24"/>
        </w:rPr>
      </w:pPr>
    </w:p>
    <w:p w14:paraId="704CEA92" w14:textId="319DA9BC" w:rsidR="003C60B3" w:rsidRPr="003C60B3" w:rsidRDefault="00A16CF7" w:rsidP="003C60B3">
      <w:pPr>
        <w:pStyle w:val="Heading2"/>
        <w:jc w:val="left"/>
        <w:rPr>
          <w:rFonts w:cs="Arial"/>
          <w:sz w:val="24"/>
        </w:rPr>
      </w:pPr>
      <w:r>
        <w:rPr>
          <w:rFonts w:eastAsiaTheme="minorHAnsi" w:cs="Arial"/>
          <w:b w:val="0"/>
          <w:color w:val="0070C0"/>
          <w:sz w:val="24"/>
          <w:szCs w:val="22"/>
          <w:lang w:eastAsia="en-US"/>
        </w:rPr>
        <w:fldChar w:fldCharType="end"/>
      </w:r>
      <w:r w:rsidR="003C60B3" w:rsidRPr="003C60B3">
        <w:rPr>
          <w:rFonts w:cs="Arial"/>
          <w:sz w:val="24"/>
        </w:rPr>
        <w:t>Authority Levels</w:t>
      </w:r>
    </w:p>
    <w:p w14:paraId="2FC64DD7" w14:textId="78446A81" w:rsidR="003C60B3" w:rsidRPr="003C60B3" w:rsidRDefault="003C60B3" w:rsidP="003C60B3">
      <w:pPr>
        <w:ind w:left="-5"/>
        <w:rPr>
          <w:rFonts w:ascii="Arial" w:hAnsi="Arial" w:cs="Arial"/>
          <w:color w:val="0070C0"/>
          <w:sz w:val="24"/>
        </w:rPr>
      </w:pPr>
      <w:r w:rsidRPr="003C60B3">
        <w:rPr>
          <w:rFonts w:ascii="Arial" w:hAnsi="Arial" w:cs="Arial"/>
          <w:sz w:val="24"/>
        </w:rPr>
        <w:t>The decision whether or not to report a data breach will be made by the Data Protection and Disclosure Officer or, in their absence the Statutory Operations Manager or Chief Executive Officer.</w:t>
      </w:r>
      <w:r w:rsidRPr="003C60B3">
        <w:rPr>
          <w:rFonts w:ascii="Arial" w:hAnsi="Arial" w:cs="Arial"/>
          <w:color w:val="0070C0"/>
          <w:sz w:val="24"/>
        </w:rPr>
        <w:t xml:space="preserve"> </w:t>
      </w:r>
    </w:p>
    <w:p w14:paraId="73B6D531" w14:textId="77777777" w:rsidR="003C60B3" w:rsidRPr="003C60B3" w:rsidRDefault="003C60B3" w:rsidP="003C60B3">
      <w:pPr>
        <w:ind w:left="-5"/>
        <w:rPr>
          <w:rFonts w:ascii="Arial" w:hAnsi="Arial" w:cs="Arial"/>
          <w:color w:val="0070C0"/>
          <w:sz w:val="24"/>
        </w:rPr>
      </w:pPr>
    </w:p>
    <w:p w14:paraId="05AAAE39" w14:textId="481D9C3B" w:rsidR="003C60B3" w:rsidRPr="003C60B3" w:rsidRDefault="003C60B3" w:rsidP="003C60B3">
      <w:pPr>
        <w:pStyle w:val="Heading2"/>
        <w:jc w:val="left"/>
        <w:rPr>
          <w:rFonts w:cs="Arial"/>
          <w:sz w:val="24"/>
        </w:rPr>
      </w:pPr>
      <w:r w:rsidRPr="003C60B3">
        <w:rPr>
          <w:rFonts w:cs="Arial"/>
          <w:sz w:val="24"/>
        </w:rPr>
        <w:t>Definitions</w:t>
      </w:r>
    </w:p>
    <w:p w14:paraId="5F3EAED7" w14:textId="32FF5EC6" w:rsidR="003C60B3" w:rsidRPr="003C60B3" w:rsidRDefault="003C60B3" w:rsidP="003C60B3">
      <w:pPr>
        <w:ind w:left="-5"/>
        <w:rPr>
          <w:rFonts w:ascii="Arial" w:hAnsi="Arial" w:cs="Arial"/>
          <w:sz w:val="24"/>
        </w:rPr>
      </w:pPr>
      <w:r w:rsidRPr="003C60B3">
        <w:rPr>
          <w:rFonts w:ascii="Arial" w:hAnsi="Arial" w:cs="Arial"/>
          <w:i/>
          <w:sz w:val="24"/>
        </w:rPr>
        <w:t>‘Personal data’</w:t>
      </w:r>
      <w:r w:rsidRPr="003C60B3">
        <w:rPr>
          <w:rFonts w:ascii="Arial" w:hAnsi="Arial" w:cs="Arial"/>
          <w:sz w:val="24"/>
        </w:rPr>
        <w:t xml:space="preserve"> is information which can identify a living individual.  This can include information that, when combined with other readily available information, can identify a living individual.  </w:t>
      </w:r>
    </w:p>
    <w:p w14:paraId="02C662C6" w14:textId="77777777" w:rsidR="003C60B3" w:rsidRPr="003C60B3" w:rsidRDefault="003C60B3" w:rsidP="003C60B3">
      <w:pPr>
        <w:ind w:left="-5"/>
        <w:rPr>
          <w:rFonts w:ascii="Arial" w:hAnsi="Arial" w:cs="Arial"/>
          <w:sz w:val="24"/>
        </w:rPr>
      </w:pPr>
      <w:r w:rsidRPr="003C60B3">
        <w:rPr>
          <w:rFonts w:ascii="Arial" w:hAnsi="Arial" w:cs="Arial"/>
          <w:sz w:val="24"/>
        </w:rPr>
        <w:t xml:space="preserve">The GDPR defines a </w:t>
      </w:r>
      <w:r w:rsidRPr="003C60B3">
        <w:rPr>
          <w:rFonts w:ascii="Arial" w:hAnsi="Arial" w:cs="Arial"/>
          <w:i/>
          <w:sz w:val="24"/>
        </w:rPr>
        <w:t>‘personal data breach</w:t>
      </w:r>
      <w:r w:rsidRPr="003C60B3">
        <w:rPr>
          <w:rFonts w:ascii="Arial" w:hAnsi="Arial" w:cs="Arial"/>
          <w:sz w:val="24"/>
        </w:rPr>
        <w:t>’ as:</w:t>
      </w:r>
    </w:p>
    <w:p w14:paraId="04A6C8BF" w14:textId="09E39585" w:rsidR="003C60B3" w:rsidRPr="003C60B3" w:rsidRDefault="003C60B3" w:rsidP="003C60B3">
      <w:pPr>
        <w:ind w:left="720"/>
        <w:rPr>
          <w:rFonts w:ascii="Arial" w:hAnsi="Arial" w:cs="Arial"/>
          <w:i/>
          <w:sz w:val="24"/>
        </w:rPr>
      </w:pPr>
      <w:r w:rsidRPr="003C60B3">
        <w:rPr>
          <w:rFonts w:ascii="Arial" w:hAnsi="Arial" w:cs="Arial"/>
          <w:i/>
          <w:sz w:val="24"/>
        </w:rPr>
        <w:t>“…a breach of security leading to the accidental or unlawful destruction, loss, alteration, unauthorised disclosure of, or access to, personal data transmitted, stored or otherwise processed”.</w:t>
      </w:r>
    </w:p>
    <w:p w14:paraId="0D6FF2EC" w14:textId="77777777" w:rsidR="003C60B3" w:rsidRPr="003C60B3" w:rsidRDefault="003C60B3" w:rsidP="003C60B3">
      <w:pPr>
        <w:ind w:left="-5"/>
        <w:rPr>
          <w:rFonts w:ascii="Arial" w:hAnsi="Arial" w:cs="Arial"/>
          <w:sz w:val="24"/>
        </w:rPr>
      </w:pPr>
      <w:r w:rsidRPr="003C60B3">
        <w:rPr>
          <w:rFonts w:ascii="Arial" w:hAnsi="Arial" w:cs="Arial"/>
          <w:sz w:val="24"/>
        </w:rPr>
        <w:t xml:space="preserve">This includes breaches that are the result of accidental or deliberate causes. It also makes clear that a breach is not just about the </w:t>
      </w:r>
      <w:r w:rsidRPr="003C60B3">
        <w:rPr>
          <w:rFonts w:ascii="Arial" w:hAnsi="Arial" w:cs="Arial"/>
          <w:i/>
          <w:sz w:val="24"/>
        </w:rPr>
        <w:t>loss</w:t>
      </w:r>
      <w:r w:rsidRPr="003C60B3">
        <w:rPr>
          <w:rFonts w:ascii="Arial" w:hAnsi="Arial" w:cs="Arial"/>
          <w:sz w:val="24"/>
        </w:rPr>
        <w:t xml:space="preserve"> of personal data. Anything that affects the </w:t>
      </w:r>
      <w:r w:rsidRPr="003C60B3">
        <w:rPr>
          <w:rFonts w:ascii="Arial" w:hAnsi="Arial" w:cs="Arial"/>
          <w:b/>
          <w:sz w:val="24"/>
        </w:rPr>
        <w:t>confidentiality</w:t>
      </w:r>
      <w:r w:rsidRPr="003C60B3">
        <w:rPr>
          <w:rFonts w:ascii="Arial" w:hAnsi="Arial" w:cs="Arial"/>
          <w:sz w:val="24"/>
        </w:rPr>
        <w:t xml:space="preserve">, </w:t>
      </w:r>
      <w:r w:rsidRPr="003C60B3">
        <w:rPr>
          <w:rFonts w:ascii="Arial" w:hAnsi="Arial" w:cs="Arial"/>
          <w:b/>
          <w:sz w:val="24"/>
        </w:rPr>
        <w:t>availability</w:t>
      </w:r>
      <w:r w:rsidRPr="003C60B3">
        <w:rPr>
          <w:rFonts w:ascii="Arial" w:hAnsi="Arial" w:cs="Arial"/>
          <w:sz w:val="24"/>
        </w:rPr>
        <w:t xml:space="preserve"> or </w:t>
      </w:r>
      <w:r w:rsidRPr="003C60B3">
        <w:rPr>
          <w:rFonts w:ascii="Arial" w:hAnsi="Arial" w:cs="Arial"/>
          <w:b/>
          <w:sz w:val="24"/>
        </w:rPr>
        <w:t>integrity</w:t>
      </w:r>
      <w:r w:rsidRPr="003C60B3">
        <w:rPr>
          <w:rFonts w:ascii="Arial" w:hAnsi="Arial" w:cs="Arial"/>
          <w:sz w:val="24"/>
        </w:rPr>
        <w:t xml:space="preserve"> of personal data constitutes a breach.</w:t>
      </w:r>
    </w:p>
    <w:p w14:paraId="1AC70FAB" w14:textId="77777777" w:rsidR="003C60B3" w:rsidRPr="003C60B3" w:rsidRDefault="003C60B3" w:rsidP="003C60B3">
      <w:pPr>
        <w:spacing w:after="0"/>
        <w:rPr>
          <w:rFonts w:ascii="Arial" w:hAnsi="Arial" w:cs="Arial"/>
          <w:sz w:val="24"/>
        </w:rPr>
      </w:pPr>
      <w:r w:rsidRPr="003C60B3">
        <w:rPr>
          <w:rFonts w:ascii="Arial" w:hAnsi="Arial" w:cs="Arial"/>
          <w:sz w:val="24"/>
        </w:rPr>
        <w:t xml:space="preserve"> </w:t>
      </w:r>
    </w:p>
    <w:p w14:paraId="57E7946C" w14:textId="40B10206" w:rsidR="003C60B3" w:rsidRPr="003C60B3" w:rsidRDefault="003C60B3" w:rsidP="003C60B3">
      <w:pPr>
        <w:pStyle w:val="Heading2"/>
        <w:jc w:val="left"/>
        <w:rPr>
          <w:rFonts w:cs="Arial"/>
          <w:sz w:val="24"/>
        </w:rPr>
      </w:pPr>
      <w:r w:rsidRPr="003C60B3">
        <w:rPr>
          <w:rFonts w:cs="Arial"/>
          <w:sz w:val="24"/>
          <w:u w:color="000000"/>
        </w:rPr>
        <w:t>Legal Requirements</w:t>
      </w:r>
      <w:r w:rsidRPr="003C60B3">
        <w:rPr>
          <w:rFonts w:cs="Arial"/>
          <w:sz w:val="24"/>
        </w:rPr>
        <w:t xml:space="preserve"> </w:t>
      </w:r>
    </w:p>
    <w:p w14:paraId="6A35DB02" w14:textId="77777777" w:rsidR="003C60B3" w:rsidRPr="003C60B3" w:rsidRDefault="003C60B3" w:rsidP="003C60B3">
      <w:pPr>
        <w:ind w:left="-5"/>
        <w:rPr>
          <w:rFonts w:ascii="Arial" w:hAnsi="Arial" w:cs="Arial"/>
          <w:sz w:val="24"/>
        </w:rPr>
      </w:pPr>
      <w:r w:rsidRPr="003C60B3">
        <w:rPr>
          <w:rFonts w:ascii="Arial" w:hAnsi="Arial" w:cs="Arial"/>
          <w:sz w:val="24"/>
        </w:rPr>
        <w:t xml:space="preserve">The use of personal data is governed by the principles set out in the Data Protection Act 2018.  Under the Act all data controllers have a responsibility to ensure appropriate and proportionate security of the personal data they hold. There is a legal obligation to report certain breaches of security which result in the loss, theft, unauthorised disclosure or compromise of personal data within 72 hours of their discovery. </w:t>
      </w:r>
    </w:p>
    <w:p w14:paraId="2F1FCB85" w14:textId="77777777" w:rsidR="003C60B3" w:rsidRPr="003C60B3" w:rsidRDefault="003C60B3" w:rsidP="003C60B3">
      <w:pPr>
        <w:ind w:left="-5"/>
        <w:rPr>
          <w:rFonts w:ascii="Arial" w:hAnsi="Arial" w:cs="Arial"/>
          <w:sz w:val="24"/>
        </w:rPr>
      </w:pPr>
    </w:p>
    <w:p w14:paraId="418C5AB0" w14:textId="61A77239" w:rsidR="003C60B3" w:rsidRPr="003C60B3" w:rsidRDefault="003C60B3" w:rsidP="003C60B3">
      <w:pPr>
        <w:pStyle w:val="Heading2"/>
        <w:jc w:val="left"/>
        <w:rPr>
          <w:rFonts w:cs="Arial"/>
          <w:sz w:val="24"/>
        </w:rPr>
      </w:pPr>
      <w:r w:rsidRPr="003C60B3">
        <w:rPr>
          <w:rFonts w:cs="Arial"/>
          <w:sz w:val="24"/>
        </w:rPr>
        <w:t>Identification of a Data Breach</w:t>
      </w:r>
    </w:p>
    <w:p w14:paraId="407FDAFE" w14:textId="77777777" w:rsidR="003C60B3" w:rsidRPr="003C60B3" w:rsidRDefault="003C60B3" w:rsidP="003C60B3">
      <w:pPr>
        <w:spacing w:after="0"/>
        <w:rPr>
          <w:rFonts w:ascii="Arial" w:hAnsi="Arial" w:cs="Arial"/>
          <w:sz w:val="24"/>
        </w:rPr>
      </w:pPr>
      <w:r w:rsidRPr="003C60B3">
        <w:rPr>
          <w:rFonts w:ascii="Arial" w:hAnsi="Arial" w:cs="Arial"/>
          <w:sz w:val="24"/>
        </w:rPr>
        <w:t xml:space="preserve">Any member of OPCC staff who discovers or has reasonable grounds to suspect that a breach of personal data has occurred </w:t>
      </w:r>
      <w:r w:rsidRPr="003C60B3">
        <w:rPr>
          <w:rFonts w:ascii="Arial" w:hAnsi="Arial" w:cs="Arial"/>
          <w:b/>
          <w:sz w:val="24"/>
          <w:u w:val="single"/>
        </w:rPr>
        <w:t>must</w:t>
      </w:r>
      <w:r w:rsidRPr="003C60B3">
        <w:rPr>
          <w:rFonts w:ascii="Arial" w:hAnsi="Arial" w:cs="Arial"/>
          <w:sz w:val="24"/>
        </w:rPr>
        <w:t xml:space="preserve"> inform either the Data Protection Officer, Statutory Operations Manager or Chief Executive Officer at the earliest possible opportunity.</w:t>
      </w:r>
    </w:p>
    <w:p w14:paraId="04011FF0" w14:textId="77777777" w:rsidR="003C60B3" w:rsidRPr="003C60B3" w:rsidRDefault="003C60B3" w:rsidP="003C60B3">
      <w:pPr>
        <w:spacing w:after="0"/>
        <w:rPr>
          <w:rFonts w:ascii="Arial" w:hAnsi="Arial" w:cs="Arial"/>
          <w:sz w:val="24"/>
        </w:rPr>
      </w:pPr>
    </w:p>
    <w:p w14:paraId="3A32EF9D" w14:textId="77777777" w:rsidR="003C60B3" w:rsidRPr="003C60B3" w:rsidRDefault="003C60B3" w:rsidP="003C60B3">
      <w:pPr>
        <w:pBdr>
          <w:top w:val="single" w:sz="6" w:space="0" w:color="000000"/>
          <w:left w:val="single" w:sz="6" w:space="0" w:color="000000"/>
          <w:bottom w:val="single" w:sz="6" w:space="0" w:color="000000"/>
          <w:right w:val="single" w:sz="6" w:space="0" w:color="000000"/>
        </w:pBdr>
        <w:spacing w:after="0"/>
        <w:ind w:right="251"/>
        <w:rPr>
          <w:rFonts w:ascii="Arial" w:hAnsi="Arial" w:cs="Arial"/>
          <w:sz w:val="24"/>
        </w:rPr>
      </w:pPr>
      <w:r w:rsidRPr="003C60B3">
        <w:rPr>
          <w:rFonts w:ascii="Arial" w:hAnsi="Arial" w:cs="Arial"/>
          <w:b/>
          <w:sz w:val="24"/>
        </w:rPr>
        <w:t xml:space="preserve">If a loss, theft, unauthorised disclosure or compromise of </w:t>
      </w:r>
      <w:r w:rsidRPr="003C60B3">
        <w:rPr>
          <w:rFonts w:ascii="Arial" w:hAnsi="Arial" w:cs="Arial"/>
          <w:b/>
          <w:sz w:val="24"/>
          <w:u w:val="single" w:color="000000"/>
        </w:rPr>
        <w:t>non-personal</w:t>
      </w:r>
      <w:r w:rsidRPr="003C60B3">
        <w:rPr>
          <w:rFonts w:ascii="Arial" w:hAnsi="Arial" w:cs="Arial"/>
          <w:b/>
          <w:sz w:val="24"/>
        </w:rPr>
        <w:t xml:space="preserve"> data</w:t>
      </w:r>
      <w:r w:rsidRPr="003C60B3">
        <w:rPr>
          <w:rFonts w:ascii="Arial" w:hAnsi="Arial" w:cs="Arial"/>
          <w:sz w:val="40"/>
          <w:vertAlign w:val="subscript"/>
        </w:rPr>
        <w:t xml:space="preserve"> </w:t>
      </w:r>
      <w:r w:rsidRPr="003C60B3">
        <w:rPr>
          <w:rFonts w:ascii="Arial" w:hAnsi="Arial" w:cs="Arial"/>
          <w:b/>
          <w:sz w:val="24"/>
        </w:rPr>
        <w:t xml:space="preserve">occurs then it will </w:t>
      </w:r>
      <w:r w:rsidRPr="003C60B3">
        <w:rPr>
          <w:rFonts w:ascii="Arial" w:hAnsi="Arial" w:cs="Arial"/>
          <w:b/>
          <w:sz w:val="24"/>
          <w:u w:val="single" w:color="000000"/>
        </w:rPr>
        <w:t>not</w:t>
      </w:r>
      <w:r w:rsidRPr="003C60B3">
        <w:rPr>
          <w:rFonts w:ascii="Arial" w:hAnsi="Arial" w:cs="Arial"/>
          <w:b/>
          <w:sz w:val="24"/>
        </w:rPr>
        <w:t xml:space="preserve"> be necessary to consider whether or not to notify the ICO but the DPO still must be informed.</w:t>
      </w:r>
      <w:r w:rsidRPr="003C60B3">
        <w:rPr>
          <w:rFonts w:ascii="Arial" w:hAnsi="Arial" w:cs="Arial"/>
          <w:sz w:val="24"/>
        </w:rPr>
        <w:t xml:space="preserve">  </w:t>
      </w:r>
    </w:p>
    <w:p w14:paraId="1F56949A" w14:textId="77777777" w:rsidR="003C60B3" w:rsidRPr="003C60B3" w:rsidRDefault="003C60B3" w:rsidP="003C60B3">
      <w:pPr>
        <w:rPr>
          <w:rFonts w:ascii="Arial" w:hAnsi="Arial" w:cs="Arial"/>
          <w:sz w:val="24"/>
        </w:rPr>
      </w:pPr>
    </w:p>
    <w:p w14:paraId="36A8AD60" w14:textId="6AEBF613" w:rsidR="003C60B3" w:rsidRPr="003C60B3" w:rsidRDefault="003C60B3" w:rsidP="003C60B3">
      <w:pPr>
        <w:pStyle w:val="Heading2"/>
        <w:jc w:val="left"/>
        <w:rPr>
          <w:rFonts w:cs="Arial"/>
          <w:sz w:val="24"/>
        </w:rPr>
      </w:pPr>
      <w:r w:rsidRPr="003C60B3">
        <w:rPr>
          <w:rFonts w:cs="Arial"/>
          <w:sz w:val="24"/>
        </w:rPr>
        <w:lastRenderedPageBreak/>
        <w:t>Rights of Data Subjects</w:t>
      </w:r>
    </w:p>
    <w:p w14:paraId="00100F33" w14:textId="77777777" w:rsidR="003C60B3" w:rsidRPr="003C60B3" w:rsidRDefault="003C60B3" w:rsidP="003C60B3">
      <w:pPr>
        <w:ind w:left="-5"/>
        <w:rPr>
          <w:rFonts w:ascii="Arial" w:hAnsi="Arial" w:cs="Arial"/>
          <w:sz w:val="24"/>
        </w:rPr>
      </w:pPr>
      <w:r w:rsidRPr="003C60B3">
        <w:rPr>
          <w:rFonts w:ascii="Arial" w:hAnsi="Arial" w:cs="Arial"/>
          <w:sz w:val="24"/>
        </w:rPr>
        <w:t xml:space="preserve">Any individual who becomes aware of the loss of their own or someone else’s personal data can make a complaint directly to the Information Commissioner.  Any such complaint will normally trigger an investigation by the ICO.  Whether or not the incident had already been reported by the organisation involved would normally be considered by the investigators and the subsequent judgement. </w:t>
      </w:r>
    </w:p>
    <w:p w14:paraId="0323CA68" w14:textId="77777777" w:rsidR="003C60B3" w:rsidRPr="003C60B3" w:rsidRDefault="003C60B3" w:rsidP="003C60B3">
      <w:pPr>
        <w:ind w:left="-5"/>
        <w:rPr>
          <w:rFonts w:ascii="Arial" w:hAnsi="Arial" w:cs="Arial"/>
          <w:sz w:val="24"/>
        </w:rPr>
      </w:pPr>
    </w:p>
    <w:p w14:paraId="425A6C31" w14:textId="794C3933" w:rsidR="003C60B3" w:rsidRPr="003C60B3" w:rsidRDefault="003C60B3" w:rsidP="003C60B3">
      <w:pPr>
        <w:pStyle w:val="Heading2"/>
        <w:jc w:val="left"/>
        <w:rPr>
          <w:rFonts w:cs="Arial"/>
          <w:sz w:val="24"/>
        </w:rPr>
      </w:pPr>
      <w:r w:rsidRPr="003C60B3">
        <w:rPr>
          <w:rFonts w:cs="Arial"/>
          <w:sz w:val="24"/>
        </w:rPr>
        <w:t>Risk Assessment process</w:t>
      </w:r>
    </w:p>
    <w:p w14:paraId="21F5596E" w14:textId="77777777" w:rsidR="003C60B3" w:rsidRPr="003C60B3" w:rsidRDefault="003C60B3" w:rsidP="003C60B3">
      <w:pPr>
        <w:ind w:left="-5"/>
        <w:rPr>
          <w:rFonts w:ascii="Arial" w:hAnsi="Arial" w:cs="Arial"/>
          <w:sz w:val="24"/>
        </w:rPr>
      </w:pPr>
      <w:r w:rsidRPr="003C60B3">
        <w:rPr>
          <w:rFonts w:ascii="Arial" w:hAnsi="Arial" w:cs="Arial"/>
          <w:sz w:val="24"/>
        </w:rPr>
        <w:t xml:space="preserve">The ICO must be informed where a data breach results (or could result) in a risk to one or more individuals’ rights or freedoms. The following guidance provides a framework for assessing whether the ICO should be informed. It is not exhaustive, and only indicates the type of factors that may indicate the risks associated with a breach. </w:t>
      </w:r>
    </w:p>
    <w:p w14:paraId="5C74991E" w14:textId="77777777" w:rsidR="003C60B3" w:rsidRPr="003C60B3" w:rsidRDefault="003C60B3" w:rsidP="003C60B3">
      <w:pPr>
        <w:spacing w:after="0"/>
        <w:rPr>
          <w:rFonts w:ascii="Arial" w:hAnsi="Arial" w:cs="Arial"/>
          <w:sz w:val="24"/>
        </w:rPr>
      </w:pPr>
    </w:p>
    <w:p w14:paraId="569162A2" w14:textId="0B3634F6" w:rsidR="003C60B3" w:rsidRPr="003C60B3" w:rsidRDefault="003C60B3" w:rsidP="003C60B3">
      <w:pPr>
        <w:pStyle w:val="Heading2"/>
        <w:jc w:val="left"/>
        <w:rPr>
          <w:rFonts w:cs="Arial"/>
          <w:sz w:val="24"/>
        </w:rPr>
      </w:pPr>
      <w:r w:rsidRPr="003C60B3">
        <w:rPr>
          <w:rFonts w:cs="Arial"/>
          <w:sz w:val="24"/>
          <w:u w:color="000000"/>
        </w:rPr>
        <w:t>Notification Matrix</w:t>
      </w:r>
      <w:r w:rsidRPr="003C60B3">
        <w:rPr>
          <w:rFonts w:cs="Arial"/>
          <w:sz w:val="24"/>
        </w:rPr>
        <w:t xml:space="preserve"> </w:t>
      </w:r>
    </w:p>
    <w:p w14:paraId="2281C9C1" w14:textId="0CB0D41A" w:rsidR="003C60B3" w:rsidRPr="003C60B3" w:rsidRDefault="00EF0F1D" w:rsidP="003C60B3">
      <w:pPr>
        <w:ind w:left="-5"/>
        <w:rPr>
          <w:rFonts w:ascii="Arial" w:hAnsi="Arial" w:cs="Arial"/>
          <w:sz w:val="24"/>
        </w:rPr>
      </w:pPr>
      <w:r>
        <w:rPr>
          <w:rFonts w:ascii="Arial" w:hAnsi="Arial" w:cs="Arial"/>
          <w:sz w:val="24"/>
        </w:rPr>
        <w:t>T</w:t>
      </w:r>
      <w:r w:rsidR="003C60B3" w:rsidRPr="003C60B3">
        <w:rPr>
          <w:rFonts w:ascii="Arial" w:hAnsi="Arial" w:cs="Arial"/>
          <w:sz w:val="24"/>
        </w:rPr>
        <w:t>he Impact Assessment flowchart to determine whether a loss, theft, unauthorised disclosure or compromise of personal data should be reported to the ICO. Although not every breach will be reported, every breach will be recorded by the DPO. If there any doubt then the presumption will be to report the breach to the ICO.</w:t>
      </w:r>
    </w:p>
    <w:p w14:paraId="6825BE5D" w14:textId="77777777" w:rsidR="003C60B3" w:rsidRPr="003C60B3" w:rsidRDefault="003C60B3" w:rsidP="003C60B3">
      <w:pPr>
        <w:ind w:left="-5"/>
        <w:rPr>
          <w:rFonts w:ascii="Arial" w:hAnsi="Arial" w:cs="Arial"/>
          <w:sz w:val="24"/>
        </w:rPr>
      </w:pPr>
    </w:p>
    <w:p w14:paraId="0B04DA0B" w14:textId="77777777" w:rsidR="003C60B3" w:rsidRPr="003C60B3" w:rsidRDefault="003C60B3" w:rsidP="003C60B3">
      <w:pPr>
        <w:pStyle w:val="Heading2"/>
        <w:jc w:val="left"/>
        <w:rPr>
          <w:rFonts w:cs="Arial"/>
          <w:sz w:val="24"/>
        </w:rPr>
      </w:pPr>
      <w:r w:rsidRPr="003C60B3">
        <w:rPr>
          <w:rFonts w:cs="Arial"/>
          <w:sz w:val="24"/>
        </w:rPr>
        <w:t>Impact Assessment Flowchart</w:t>
      </w:r>
    </w:p>
    <w:p w14:paraId="542D8CD2" w14:textId="77777777" w:rsidR="003C60B3" w:rsidRPr="003C60B3" w:rsidRDefault="003C60B3" w:rsidP="003C60B3">
      <w:pPr>
        <w:ind w:left="-5"/>
        <w:rPr>
          <w:rFonts w:ascii="Arial" w:hAnsi="Arial" w:cs="Arial"/>
          <w:sz w:val="24"/>
        </w:rPr>
      </w:pPr>
    </w:p>
    <w:p w14:paraId="3AC9D5E9" w14:textId="0D1E3B1B" w:rsidR="003C60B3" w:rsidRPr="003C60B3" w:rsidRDefault="003C60B3" w:rsidP="001864C7">
      <w:pPr>
        <w:ind w:left="-5"/>
        <w:jc w:val="center"/>
        <w:rPr>
          <w:rFonts w:ascii="Arial" w:hAnsi="Arial" w:cs="Arial"/>
          <w:sz w:val="24"/>
        </w:rPr>
      </w:pPr>
      <w:r w:rsidRPr="003C60B3">
        <w:rPr>
          <w:rFonts w:ascii="Arial" w:hAnsi="Arial" w:cs="Arial"/>
          <w:noProof/>
          <w:sz w:val="24"/>
          <w:lang w:eastAsia="en-GB"/>
        </w:rPr>
        <w:drawing>
          <wp:inline distT="0" distB="0" distL="0" distR="0" wp14:anchorId="177EC91A" wp14:editId="75F59F44">
            <wp:extent cx="4663440" cy="21793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3440" cy="2179320"/>
                    </a:xfrm>
                    <a:prstGeom prst="rect">
                      <a:avLst/>
                    </a:prstGeom>
                    <a:noFill/>
                    <a:ln>
                      <a:noFill/>
                    </a:ln>
                  </pic:spPr>
                </pic:pic>
              </a:graphicData>
            </a:graphic>
          </wp:inline>
        </w:drawing>
      </w:r>
    </w:p>
    <w:p w14:paraId="6C2020B0" w14:textId="77777777" w:rsidR="003C60B3" w:rsidRPr="003C60B3" w:rsidRDefault="003C60B3" w:rsidP="003C60B3">
      <w:pPr>
        <w:pStyle w:val="Heading2"/>
        <w:jc w:val="left"/>
        <w:rPr>
          <w:rFonts w:cs="Arial"/>
          <w:sz w:val="24"/>
        </w:rPr>
      </w:pPr>
      <w:r w:rsidRPr="003C60B3">
        <w:rPr>
          <w:rFonts w:cs="Arial"/>
          <w:sz w:val="24"/>
          <w:u w:color="000000"/>
        </w:rPr>
        <w:t>Timing Of Notification</w:t>
      </w:r>
      <w:r w:rsidRPr="003C60B3">
        <w:rPr>
          <w:rFonts w:cs="Arial"/>
          <w:sz w:val="24"/>
        </w:rPr>
        <w:t xml:space="preserve"> </w:t>
      </w:r>
    </w:p>
    <w:p w14:paraId="2792DFFF" w14:textId="77777777" w:rsidR="003C60B3" w:rsidRPr="003C60B3" w:rsidRDefault="003C60B3" w:rsidP="003C60B3">
      <w:pPr>
        <w:spacing w:after="0"/>
        <w:rPr>
          <w:rFonts w:ascii="Arial" w:hAnsi="Arial" w:cs="Arial"/>
          <w:sz w:val="24"/>
        </w:rPr>
      </w:pPr>
      <w:r w:rsidRPr="003C60B3">
        <w:rPr>
          <w:rFonts w:ascii="Arial" w:hAnsi="Arial" w:cs="Arial"/>
          <w:sz w:val="24"/>
        </w:rPr>
        <w:t xml:space="preserve"> </w:t>
      </w:r>
    </w:p>
    <w:p w14:paraId="44AD1D4C" w14:textId="3A242A3B" w:rsidR="003C60B3" w:rsidRDefault="003C60B3" w:rsidP="001864C7">
      <w:pPr>
        <w:ind w:left="-5"/>
        <w:rPr>
          <w:rFonts w:ascii="Arial" w:hAnsi="Arial" w:cs="Arial"/>
          <w:sz w:val="24"/>
        </w:rPr>
      </w:pPr>
      <w:r w:rsidRPr="003C60B3">
        <w:rPr>
          <w:rFonts w:ascii="Arial" w:hAnsi="Arial" w:cs="Arial"/>
          <w:sz w:val="24"/>
        </w:rPr>
        <w:t xml:space="preserve">If the outcome is to notify the ICO of the data protection breach, consideration must be given as to </w:t>
      </w:r>
      <w:r w:rsidRPr="003C60B3">
        <w:rPr>
          <w:rFonts w:ascii="Arial" w:hAnsi="Arial" w:cs="Arial"/>
          <w:sz w:val="24"/>
          <w:u w:val="single" w:color="000000"/>
        </w:rPr>
        <w:t>when</w:t>
      </w:r>
      <w:r w:rsidRPr="003C60B3">
        <w:rPr>
          <w:rFonts w:ascii="Arial" w:hAnsi="Arial" w:cs="Arial"/>
          <w:sz w:val="24"/>
        </w:rPr>
        <w:t xml:space="preserve"> to notify.  Ordinarily notification should occur </w:t>
      </w:r>
      <w:r w:rsidRPr="003C60B3">
        <w:rPr>
          <w:rFonts w:ascii="Arial" w:hAnsi="Arial" w:cs="Arial"/>
          <w:sz w:val="24"/>
          <w:u w:val="single" w:color="000000"/>
        </w:rPr>
        <w:t>as soon</w:t>
      </w:r>
      <w:r w:rsidRPr="003C60B3">
        <w:rPr>
          <w:rFonts w:ascii="Arial" w:hAnsi="Arial" w:cs="Arial"/>
          <w:sz w:val="24"/>
        </w:rPr>
        <w:t xml:space="preserve"> as the information required for notification</w:t>
      </w:r>
      <w:hyperlink r:id="rId13">
        <w:r w:rsidRPr="003C60B3">
          <w:rPr>
            <w:rFonts w:ascii="Arial" w:hAnsi="Arial" w:cs="Arial"/>
            <w:sz w:val="24"/>
          </w:rPr>
          <w:t xml:space="preserve"> </w:t>
        </w:r>
      </w:hyperlink>
      <w:r w:rsidRPr="003C60B3">
        <w:rPr>
          <w:rFonts w:ascii="Arial" w:hAnsi="Arial" w:cs="Arial"/>
          <w:sz w:val="24"/>
        </w:rPr>
        <w:t xml:space="preserve">is available and in any case within 72 hours of discovery of the breach. </w:t>
      </w:r>
    </w:p>
    <w:p w14:paraId="155E1CB2" w14:textId="08C36CED" w:rsidR="00A16CF7" w:rsidRPr="00A16CF7" w:rsidRDefault="00A16CF7" w:rsidP="001864C7">
      <w:pPr>
        <w:ind w:left="-5"/>
        <w:rPr>
          <w:rFonts w:ascii="Arial" w:hAnsi="Arial" w:cs="Arial"/>
          <w:b/>
          <w:sz w:val="24"/>
        </w:rPr>
      </w:pPr>
      <w:r w:rsidRPr="00A16CF7">
        <w:rPr>
          <w:rFonts w:ascii="Arial" w:hAnsi="Arial" w:cs="Arial"/>
          <w:b/>
          <w:sz w:val="24"/>
        </w:rPr>
        <w:t>What Information must be provided to the ICO?</w:t>
      </w:r>
    </w:p>
    <w:p w14:paraId="7AB7C548" w14:textId="6B1E54A8" w:rsidR="00A16CF7" w:rsidRPr="00A16CF7" w:rsidRDefault="00A16CF7" w:rsidP="00A16CF7">
      <w:pPr>
        <w:ind w:left="-5"/>
        <w:rPr>
          <w:rFonts w:ascii="Arial" w:hAnsi="Arial" w:cs="Arial"/>
          <w:sz w:val="24"/>
        </w:rPr>
      </w:pPr>
      <w:r>
        <w:rPr>
          <w:rFonts w:ascii="Arial" w:hAnsi="Arial" w:cs="Arial"/>
          <w:sz w:val="24"/>
        </w:rPr>
        <w:t>When reporting a breach, the following must be provided:</w:t>
      </w:r>
    </w:p>
    <w:p w14:paraId="77186552" w14:textId="77777777" w:rsidR="00A16CF7" w:rsidRPr="00A16CF7" w:rsidRDefault="00A16CF7" w:rsidP="00A16CF7">
      <w:pPr>
        <w:pStyle w:val="ListParagraph"/>
        <w:numPr>
          <w:ilvl w:val="0"/>
          <w:numId w:val="26"/>
        </w:numPr>
        <w:rPr>
          <w:rFonts w:ascii="Arial" w:hAnsi="Arial" w:cs="Arial"/>
          <w:sz w:val="24"/>
        </w:rPr>
      </w:pPr>
      <w:r w:rsidRPr="00A16CF7">
        <w:rPr>
          <w:rFonts w:ascii="Arial" w:hAnsi="Arial" w:cs="Arial"/>
          <w:sz w:val="24"/>
        </w:rPr>
        <w:lastRenderedPageBreak/>
        <w:t>a description of the nature of the personal data breach including, where possible:</w:t>
      </w:r>
    </w:p>
    <w:p w14:paraId="7DF3F8E4" w14:textId="77777777" w:rsidR="00A16CF7" w:rsidRPr="00A16CF7" w:rsidRDefault="00A16CF7" w:rsidP="00A16CF7">
      <w:pPr>
        <w:pStyle w:val="ListParagraph"/>
        <w:numPr>
          <w:ilvl w:val="1"/>
          <w:numId w:val="26"/>
        </w:numPr>
        <w:rPr>
          <w:rFonts w:ascii="Arial" w:hAnsi="Arial" w:cs="Arial"/>
          <w:sz w:val="24"/>
        </w:rPr>
      </w:pPr>
      <w:r w:rsidRPr="00A16CF7">
        <w:rPr>
          <w:rFonts w:ascii="Arial" w:hAnsi="Arial" w:cs="Arial"/>
          <w:sz w:val="24"/>
        </w:rPr>
        <w:t>the categories and approximate number of individuals concerned; and</w:t>
      </w:r>
    </w:p>
    <w:p w14:paraId="13A037A5" w14:textId="77777777" w:rsidR="00A16CF7" w:rsidRPr="00A16CF7" w:rsidRDefault="00A16CF7" w:rsidP="00A16CF7">
      <w:pPr>
        <w:pStyle w:val="ListParagraph"/>
        <w:numPr>
          <w:ilvl w:val="1"/>
          <w:numId w:val="26"/>
        </w:numPr>
        <w:rPr>
          <w:rFonts w:ascii="Arial" w:hAnsi="Arial" w:cs="Arial"/>
          <w:sz w:val="24"/>
        </w:rPr>
      </w:pPr>
      <w:r w:rsidRPr="00A16CF7">
        <w:rPr>
          <w:rFonts w:ascii="Arial" w:hAnsi="Arial" w:cs="Arial"/>
          <w:sz w:val="24"/>
        </w:rPr>
        <w:t>the categories and approximate number of personal data records concerned;</w:t>
      </w:r>
    </w:p>
    <w:p w14:paraId="04836F51" w14:textId="77777777" w:rsidR="00A16CF7" w:rsidRPr="00A16CF7" w:rsidRDefault="00A16CF7" w:rsidP="00A16CF7">
      <w:pPr>
        <w:pStyle w:val="ListParagraph"/>
        <w:numPr>
          <w:ilvl w:val="0"/>
          <w:numId w:val="26"/>
        </w:numPr>
        <w:rPr>
          <w:rFonts w:ascii="Arial" w:hAnsi="Arial" w:cs="Arial"/>
          <w:sz w:val="24"/>
        </w:rPr>
      </w:pPr>
      <w:r w:rsidRPr="00A16CF7">
        <w:rPr>
          <w:rFonts w:ascii="Arial" w:hAnsi="Arial" w:cs="Arial"/>
          <w:sz w:val="24"/>
        </w:rPr>
        <w:t>the name and contact details of the data protection officer (if your organisation has one) or other contact point where more information can be obtained;</w:t>
      </w:r>
    </w:p>
    <w:p w14:paraId="415216A5" w14:textId="77777777" w:rsidR="00A16CF7" w:rsidRPr="00A16CF7" w:rsidRDefault="00A16CF7" w:rsidP="00A16CF7">
      <w:pPr>
        <w:pStyle w:val="ListParagraph"/>
        <w:numPr>
          <w:ilvl w:val="0"/>
          <w:numId w:val="26"/>
        </w:numPr>
        <w:rPr>
          <w:rFonts w:ascii="Arial" w:hAnsi="Arial" w:cs="Arial"/>
          <w:sz w:val="24"/>
        </w:rPr>
      </w:pPr>
      <w:r w:rsidRPr="00A16CF7">
        <w:rPr>
          <w:rFonts w:ascii="Arial" w:hAnsi="Arial" w:cs="Arial"/>
          <w:sz w:val="24"/>
        </w:rPr>
        <w:t>a description of the likely consequences of the personal data breach; and</w:t>
      </w:r>
    </w:p>
    <w:p w14:paraId="16A1336C" w14:textId="053B95D5" w:rsidR="00A16CF7" w:rsidRPr="00A16CF7" w:rsidRDefault="00A16CF7" w:rsidP="00A16CF7">
      <w:pPr>
        <w:pStyle w:val="ListParagraph"/>
        <w:numPr>
          <w:ilvl w:val="0"/>
          <w:numId w:val="26"/>
        </w:numPr>
        <w:rPr>
          <w:rFonts w:ascii="Arial" w:hAnsi="Arial" w:cs="Arial"/>
          <w:sz w:val="24"/>
        </w:rPr>
      </w:pPr>
      <w:r w:rsidRPr="00A16CF7">
        <w:rPr>
          <w:rFonts w:ascii="Arial" w:hAnsi="Arial" w:cs="Arial"/>
          <w:sz w:val="24"/>
        </w:rPr>
        <w:t>a description of the measures taken, or proposed to be taken, to deal with the personal data breach and, where appropriate, of the measures taken to mitigate any possible adverse effects.</w:t>
      </w:r>
    </w:p>
    <w:p w14:paraId="413E69C9" w14:textId="1DB86511" w:rsidR="00A16CF7" w:rsidRDefault="00A16CF7" w:rsidP="001864C7">
      <w:pPr>
        <w:ind w:left="-5"/>
        <w:rPr>
          <w:rFonts w:ascii="Arial" w:hAnsi="Arial" w:cs="Arial"/>
          <w:b/>
          <w:sz w:val="24"/>
        </w:rPr>
      </w:pPr>
      <w:r w:rsidRPr="00A16CF7">
        <w:rPr>
          <w:rFonts w:ascii="Arial" w:hAnsi="Arial" w:cs="Arial"/>
          <w:b/>
          <w:sz w:val="24"/>
        </w:rPr>
        <w:t>What Information Must be provided to individuals?</w:t>
      </w:r>
    </w:p>
    <w:p w14:paraId="148C80D5" w14:textId="62A52FDB" w:rsidR="00A16CF7" w:rsidRPr="00A16CF7" w:rsidRDefault="00A16CF7" w:rsidP="001864C7">
      <w:pPr>
        <w:ind w:left="-5"/>
        <w:rPr>
          <w:rFonts w:ascii="Arial" w:hAnsi="Arial" w:cs="Arial"/>
          <w:sz w:val="24"/>
        </w:rPr>
      </w:pPr>
      <w:hyperlink r:id="rId14" w:history="1">
        <w:r w:rsidRPr="00A16CF7">
          <w:rPr>
            <w:rStyle w:val="Hyperlink"/>
            <w:rFonts w:ascii="Arial" w:hAnsi="Arial" w:cs="Arial"/>
            <w:sz w:val="24"/>
          </w:rPr>
          <w:t>The ICO guidance</w:t>
        </w:r>
      </w:hyperlink>
      <w:r w:rsidRPr="00A16CF7">
        <w:rPr>
          <w:rFonts w:ascii="Arial" w:hAnsi="Arial" w:cs="Arial"/>
          <w:sz w:val="24"/>
        </w:rPr>
        <w:t xml:space="preserve"> will dictate when individuals are to be informed about a data breach.</w:t>
      </w:r>
    </w:p>
    <w:p w14:paraId="4C367BD1" w14:textId="1E45594D" w:rsidR="00A16CF7" w:rsidRPr="00A16CF7" w:rsidRDefault="00A16CF7" w:rsidP="00A16CF7">
      <w:pPr>
        <w:pStyle w:val="ListParagraph"/>
        <w:numPr>
          <w:ilvl w:val="0"/>
          <w:numId w:val="25"/>
        </w:numPr>
        <w:rPr>
          <w:rFonts w:ascii="Arial" w:hAnsi="Arial" w:cs="Arial"/>
          <w:sz w:val="24"/>
        </w:rPr>
      </w:pPr>
      <w:r w:rsidRPr="00A16CF7">
        <w:rPr>
          <w:rFonts w:ascii="Arial" w:hAnsi="Arial" w:cs="Arial"/>
          <w:sz w:val="24"/>
        </w:rPr>
        <w:t>DPO’s details</w:t>
      </w:r>
    </w:p>
    <w:p w14:paraId="657FA7E0" w14:textId="6B94BCE5" w:rsidR="00A16CF7" w:rsidRPr="00A16CF7" w:rsidRDefault="00A16CF7" w:rsidP="00A16CF7">
      <w:pPr>
        <w:pStyle w:val="ListParagraph"/>
        <w:numPr>
          <w:ilvl w:val="0"/>
          <w:numId w:val="25"/>
        </w:numPr>
        <w:rPr>
          <w:rFonts w:ascii="Arial" w:hAnsi="Arial" w:cs="Arial"/>
          <w:sz w:val="24"/>
        </w:rPr>
      </w:pPr>
      <w:r w:rsidRPr="00A16CF7">
        <w:rPr>
          <w:rFonts w:ascii="Arial" w:hAnsi="Arial" w:cs="Arial"/>
          <w:sz w:val="24"/>
        </w:rPr>
        <w:t>Details of the data that was breached</w:t>
      </w:r>
    </w:p>
    <w:p w14:paraId="6D583276" w14:textId="6690DA5E" w:rsidR="00A16CF7" w:rsidRPr="00A16CF7" w:rsidRDefault="00A16CF7" w:rsidP="00A16CF7">
      <w:pPr>
        <w:pStyle w:val="ListParagraph"/>
        <w:numPr>
          <w:ilvl w:val="0"/>
          <w:numId w:val="25"/>
        </w:numPr>
        <w:rPr>
          <w:rFonts w:ascii="Arial" w:hAnsi="Arial" w:cs="Arial"/>
          <w:sz w:val="24"/>
        </w:rPr>
      </w:pPr>
      <w:r w:rsidRPr="00A16CF7">
        <w:rPr>
          <w:rFonts w:ascii="Arial" w:hAnsi="Arial" w:cs="Arial"/>
          <w:sz w:val="24"/>
        </w:rPr>
        <w:t>A description of the likely consequences and how to protect themselves</w:t>
      </w:r>
    </w:p>
    <w:p w14:paraId="441F89EA" w14:textId="4AAF1F37" w:rsidR="00A16CF7" w:rsidRPr="00A16CF7" w:rsidRDefault="00A16CF7" w:rsidP="00A16CF7">
      <w:pPr>
        <w:pStyle w:val="ListParagraph"/>
        <w:numPr>
          <w:ilvl w:val="0"/>
          <w:numId w:val="25"/>
        </w:numPr>
        <w:rPr>
          <w:rFonts w:ascii="Arial" w:hAnsi="Arial" w:cs="Arial"/>
          <w:sz w:val="24"/>
        </w:rPr>
      </w:pPr>
      <w:r w:rsidRPr="00A16CF7">
        <w:rPr>
          <w:rFonts w:ascii="Arial" w:hAnsi="Arial" w:cs="Arial"/>
          <w:sz w:val="24"/>
        </w:rPr>
        <w:t>Mitigation actions that have been put in place and possible adverse effects</w:t>
      </w:r>
    </w:p>
    <w:p w14:paraId="303A612F" w14:textId="1A2C352D" w:rsidR="004E09B5" w:rsidRDefault="004E09B5">
      <w:pPr>
        <w:rPr>
          <w:rFonts w:ascii="Arial" w:hAnsi="Arial" w:cs="Arial"/>
          <w:sz w:val="24"/>
        </w:rPr>
      </w:pPr>
      <w:r>
        <w:rPr>
          <w:rFonts w:ascii="Arial" w:hAnsi="Arial" w:cs="Arial"/>
          <w:sz w:val="24"/>
        </w:rPr>
        <w:br w:type="page"/>
      </w:r>
    </w:p>
    <w:p w14:paraId="1226344E" w14:textId="77777777" w:rsidR="004E09B5" w:rsidRDefault="004E09B5" w:rsidP="004E09B5">
      <w:pPr>
        <w:pStyle w:val="Heading2"/>
      </w:pPr>
      <w:r>
        <w:lastRenderedPageBreak/>
        <w:t>Data Protection – additional information required for commissions or grants with data processors</w:t>
      </w:r>
    </w:p>
    <w:p w14:paraId="6A476C18" w14:textId="77777777" w:rsidR="004E09B5" w:rsidRDefault="004E09B5" w:rsidP="004E09B5"/>
    <w:p w14:paraId="5EB15765" w14:textId="46BC8A5C" w:rsidR="004E09B5" w:rsidRDefault="004E09B5" w:rsidP="004E09B5">
      <w:r>
        <w:t>The following information is required by law for contracts involving Data Processing on the OPCC’s behalf. Where the organisation is large enough to have a Data Protection Officer use the full Data Processing Contract</w:t>
      </w:r>
      <w:r w:rsidR="00EF0F1D">
        <w:t xml:space="preserve"> template</w:t>
      </w:r>
      <w:r>
        <w:t>.</w:t>
      </w:r>
    </w:p>
    <w:p w14:paraId="5472AD55" w14:textId="77777777" w:rsidR="004E09B5" w:rsidRDefault="004E09B5" w:rsidP="004E09B5">
      <w:r>
        <w:t>Clauses to be added including the following information:</w:t>
      </w:r>
    </w:p>
    <w:p w14:paraId="4E708872" w14:textId="77777777" w:rsidR="004E09B5" w:rsidRDefault="004E09B5" w:rsidP="004E09B5">
      <w:r>
        <w:t>Subject matter of the processing;</w:t>
      </w:r>
    </w:p>
    <w:p w14:paraId="4E2F4CD6" w14:textId="77777777" w:rsidR="004E09B5" w:rsidRDefault="004E09B5" w:rsidP="004E09B5">
      <w:pPr>
        <w:pStyle w:val="ListParagraph"/>
        <w:numPr>
          <w:ilvl w:val="0"/>
          <w:numId w:val="27"/>
        </w:numPr>
      </w:pPr>
      <w:r>
        <w:t>What is the purpose of the contract or grant and what personal data is to be processed to fulfil it?</w:t>
      </w:r>
    </w:p>
    <w:p w14:paraId="07A39C44" w14:textId="77777777" w:rsidR="004E09B5" w:rsidRDefault="004E09B5" w:rsidP="004E09B5">
      <w:r>
        <w:t>Duration of the processing;</w:t>
      </w:r>
    </w:p>
    <w:p w14:paraId="2AAE8D1C" w14:textId="77777777" w:rsidR="004E09B5" w:rsidRDefault="004E09B5" w:rsidP="004E09B5">
      <w:pPr>
        <w:pStyle w:val="ListParagraph"/>
        <w:numPr>
          <w:ilvl w:val="0"/>
          <w:numId w:val="27"/>
        </w:numPr>
      </w:pPr>
      <w:r>
        <w:t>Usually this will be the duration of the contract</w:t>
      </w:r>
    </w:p>
    <w:p w14:paraId="05682BB0" w14:textId="77777777" w:rsidR="004E09B5" w:rsidRDefault="004E09B5" w:rsidP="004E09B5">
      <w:r>
        <w:t>nature and purpose of the processing;</w:t>
      </w:r>
    </w:p>
    <w:p w14:paraId="0860C17A" w14:textId="77777777" w:rsidR="004E09B5" w:rsidRDefault="004E09B5" w:rsidP="004E09B5">
      <w:pPr>
        <w:pStyle w:val="ListParagraph"/>
        <w:numPr>
          <w:ilvl w:val="0"/>
          <w:numId w:val="27"/>
        </w:numPr>
      </w:pPr>
      <w:r>
        <w:t>What is the lawful purpose for the data processing? (Seek advice from Data Protection Officer)</w:t>
      </w:r>
    </w:p>
    <w:p w14:paraId="02EB2430" w14:textId="77777777" w:rsidR="004E09B5" w:rsidRDefault="004E09B5" w:rsidP="004E09B5">
      <w:pPr>
        <w:pStyle w:val="ListParagraph"/>
        <w:numPr>
          <w:ilvl w:val="0"/>
          <w:numId w:val="27"/>
        </w:numPr>
      </w:pPr>
      <w:r>
        <w:t>How will personal data be processed? (A data processing impact assessment will help identify this, based on a method statement from the provider)</w:t>
      </w:r>
    </w:p>
    <w:p w14:paraId="11D80820" w14:textId="77777777" w:rsidR="004E09B5" w:rsidRDefault="004E09B5" w:rsidP="004E09B5">
      <w:r>
        <w:t>type of personal data involved;</w:t>
      </w:r>
    </w:p>
    <w:p w14:paraId="27BC806E" w14:textId="77777777" w:rsidR="004E09B5" w:rsidRDefault="004E09B5" w:rsidP="004E09B5">
      <w:pPr>
        <w:pStyle w:val="ListParagraph"/>
        <w:numPr>
          <w:ilvl w:val="0"/>
          <w:numId w:val="27"/>
        </w:numPr>
      </w:pPr>
      <w:r>
        <w:t>Specific categories of data – for example, fields in a database or boxes on a form that captures personal data.</w:t>
      </w:r>
    </w:p>
    <w:p w14:paraId="0597CD69" w14:textId="77777777" w:rsidR="004E09B5" w:rsidRDefault="004E09B5" w:rsidP="004E09B5">
      <w:r>
        <w:t xml:space="preserve">Categories of data subject; </w:t>
      </w:r>
    </w:p>
    <w:p w14:paraId="2BAFF9A1" w14:textId="77777777" w:rsidR="004E09B5" w:rsidRDefault="004E09B5" w:rsidP="004E09B5">
      <w:pPr>
        <w:pStyle w:val="ListParagraph"/>
        <w:numPr>
          <w:ilvl w:val="0"/>
          <w:numId w:val="27"/>
        </w:numPr>
      </w:pPr>
      <w:r>
        <w:t>Whose data will be processed? This may include staff, clients, customers, the general public.</w:t>
      </w:r>
    </w:p>
    <w:p w14:paraId="19087014" w14:textId="77777777" w:rsidR="004E09B5" w:rsidRDefault="004E09B5" w:rsidP="004E09B5">
      <w:r>
        <w:t>Controller’s obligations and rights, in accordance with the list set out in Article 28(3) of the UK GDPR.</w:t>
      </w:r>
    </w:p>
    <w:p w14:paraId="73C079E4" w14:textId="77777777" w:rsidR="004E09B5" w:rsidRDefault="004E09B5" w:rsidP="004E09B5">
      <w:pPr>
        <w:ind w:left="720"/>
      </w:pPr>
      <w:r>
        <w:t>That contract or other legal act shall stipulate, in particular, that the processor:</w:t>
      </w:r>
    </w:p>
    <w:p w14:paraId="3A111CBC" w14:textId="77777777" w:rsidR="004E09B5" w:rsidRDefault="004E09B5" w:rsidP="004E09B5">
      <w:pPr>
        <w:ind w:left="720"/>
      </w:pPr>
      <w:r>
        <w:t>(a)processes the personal data only on documented instructions from the controller, including with regard to transfers of personal data to a third country or an international organisation, unless required to do so by domestic law; in such a case, the processor shall inform the controller of that legal requirement before processing, unless that law prohibits such information on important grounds of public interest;</w:t>
      </w:r>
    </w:p>
    <w:p w14:paraId="3D882A58" w14:textId="77777777" w:rsidR="004E09B5" w:rsidRDefault="004E09B5" w:rsidP="004E09B5">
      <w:pPr>
        <w:ind w:left="720"/>
      </w:pPr>
      <w:r>
        <w:t>(b)ensures that persons authorised to process the personal data have committed themselves to confidentiality or are under an appropriate statutory obligation of confidentiality;</w:t>
      </w:r>
    </w:p>
    <w:p w14:paraId="2BCD47D7" w14:textId="77777777" w:rsidR="004E09B5" w:rsidRDefault="004E09B5" w:rsidP="004E09B5">
      <w:pPr>
        <w:ind w:left="720"/>
      </w:pPr>
      <w:r>
        <w:t>(c)takes all measures required pursuant to Article 32 of the UK GDPR;</w:t>
      </w:r>
    </w:p>
    <w:p w14:paraId="7D49BCB9" w14:textId="77777777" w:rsidR="004E09B5" w:rsidRDefault="004E09B5" w:rsidP="004E09B5">
      <w:pPr>
        <w:ind w:left="720"/>
      </w:pPr>
      <w:r>
        <w:t>(d)shall not appoint another processor without the explicit written consent of the OPCC;</w:t>
      </w:r>
    </w:p>
    <w:p w14:paraId="10D9F933" w14:textId="77777777" w:rsidR="004E09B5" w:rsidRDefault="004E09B5" w:rsidP="004E09B5">
      <w:pPr>
        <w:ind w:left="720"/>
      </w:pPr>
      <w:r>
        <w:t>(e)taking into account the nature of the processing, assists the controller by appropriate technical and organisational measures, insofar as this is possible, for the fulfilment of the controller's obligation to respond to requests for exercising the data subject's rights laid down in Chapter III;</w:t>
      </w:r>
    </w:p>
    <w:p w14:paraId="1539D3E6" w14:textId="77777777" w:rsidR="004E09B5" w:rsidRDefault="004E09B5" w:rsidP="004E09B5">
      <w:pPr>
        <w:ind w:left="720"/>
      </w:pPr>
      <w:r>
        <w:t>(f)assists the controller in ensuring compliance with requests under the Freedom of Information Act 2000 or the Data Protection Act 2018 for disclosure of processing regarding a data subject, taking into account the nature of processing and the information available to the processor;</w:t>
      </w:r>
    </w:p>
    <w:p w14:paraId="6682E523" w14:textId="77777777" w:rsidR="004E09B5" w:rsidRDefault="004E09B5" w:rsidP="004E09B5">
      <w:pPr>
        <w:ind w:left="720"/>
      </w:pPr>
      <w:r>
        <w:lastRenderedPageBreak/>
        <w:t>(g)at the choice of the controller, deletes or returns all the personal data to the controller after the end of the provision of services relating to processing, and deletes existing copies unless domestic law requires storage of the personal data;</w:t>
      </w:r>
    </w:p>
    <w:p w14:paraId="469D4D9A" w14:textId="77777777" w:rsidR="004E09B5" w:rsidRDefault="004E09B5" w:rsidP="004E09B5">
      <w:pPr>
        <w:ind w:left="720"/>
      </w:pPr>
      <w:r>
        <w:t>(h)makes available to the controller all information necessary to demonstrate compliance with the obligations laid down under the Data Protection Act 2018 and UK GDOR and allows for and contributes to audits, including inspections, conducted by the controller or another auditor mandated by the controller.</w:t>
      </w:r>
    </w:p>
    <w:p w14:paraId="1BB6D747" w14:textId="77777777" w:rsidR="004E09B5" w:rsidRDefault="004E09B5" w:rsidP="004E09B5">
      <w:pPr>
        <w:pStyle w:val="Heading2"/>
        <w:jc w:val="left"/>
      </w:pPr>
      <w:r>
        <w:t>Data Processing Impact Assessment (DPIA)</w:t>
      </w:r>
    </w:p>
    <w:p w14:paraId="506D7976" w14:textId="77777777" w:rsidR="004E09B5" w:rsidRDefault="004E09B5" w:rsidP="004E09B5">
      <w:r>
        <w:t>It is the responsibility of the commissioning manager to complete a DPIA for any processing activity performed by a Data Processor on behalf of the OPCC as a Data Controller. Support in completing this is available from the Data Protection Officer.</w:t>
      </w:r>
    </w:p>
    <w:p w14:paraId="12D98653" w14:textId="77777777" w:rsidR="004E09B5" w:rsidRPr="00FA35F0" w:rsidRDefault="004E09B5" w:rsidP="004E09B5">
      <w:r>
        <w:t>A data flow diagram or detailed method statement from the provider will assist you in completing this document.</w:t>
      </w:r>
    </w:p>
    <w:p w14:paraId="2D00C8DB" w14:textId="77777777" w:rsidR="00A16CF7" w:rsidRPr="00A16CF7" w:rsidRDefault="00A16CF7" w:rsidP="00A16CF7">
      <w:pPr>
        <w:rPr>
          <w:rFonts w:ascii="Arial" w:hAnsi="Arial" w:cs="Arial"/>
          <w:sz w:val="24"/>
        </w:rPr>
      </w:pPr>
    </w:p>
    <w:sectPr w:rsidR="00A16CF7" w:rsidRPr="00A16CF7" w:rsidSect="00184876">
      <w:headerReference w:type="default" r:id="rId15"/>
      <w:footerReference w:type="default" r:id="rId16"/>
      <w:pgSz w:w="11906" w:h="16838"/>
      <w:pgMar w:top="1986" w:right="685" w:bottom="1440" w:left="73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DA706" w14:textId="77777777" w:rsidR="00EA2DF4" w:rsidRDefault="00EA2DF4" w:rsidP="0090350B">
      <w:pPr>
        <w:spacing w:after="0" w:line="240" w:lineRule="auto"/>
      </w:pPr>
      <w:r>
        <w:separator/>
      </w:r>
    </w:p>
  </w:endnote>
  <w:endnote w:type="continuationSeparator" w:id="0">
    <w:p w14:paraId="5D4D3EA8" w14:textId="77777777" w:rsidR="00EA2DF4" w:rsidRDefault="00EA2DF4" w:rsidP="00903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9965371"/>
      <w:docPartObj>
        <w:docPartGallery w:val="Page Numbers (Bottom of Page)"/>
        <w:docPartUnique/>
      </w:docPartObj>
    </w:sdtPr>
    <w:sdtEndPr>
      <w:rPr>
        <w:noProof/>
      </w:rPr>
    </w:sdtEndPr>
    <w:sdtContent>
      <w:p w14:paraId="486E25A8" w14:textId="77777777" w:rsidR="001A5A71" w:rsidRDefault="001A5A71">
        <w:pPr>
          <w:pStyle w:val="Footer"/>
          <w:jc w:val="right"/>
        </w:pPr>
        <w:r>
          <w:fldChar w:fldCharType="begin"/>
        </w:r>
        <w:r>
          <w:instrText xml:space="preserve"> PAGE   \* MERGEFORMAT </w:instrText>
        </w:r>
        <w:r>
          <w:fldChar w:fldCharType="separate"/>
        </w:r>
        <w:r w:rsidR="00A16CF7">
          <w:rPr>
            <w:noProof/>
          </w:rPr>
          <w:t>11</w:t>
        </w:r>
        <w:r>
          <w:rPr>
            <w:noProof/>
          </w:rPr>
          <w:fldChar w:fldCharType="end"/>
        </w:r>
      </w:p>
    </w:sdtContent>
  </w:sdt>
  <w:p w14:paraId="44A76909" w14:textId="77777777" w:rsidR="001A5A71" w:rsidRDefault="001A5A71">
    <w:pPr>
      <w:pStyle w:val="Footer"/>
    </w:pPr>
  </w:p>
  <w:p w14:paraId="7925D356" w14:textId="77777777" w:rsidR="008A12C5" w:rsidRDefault="008A12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CE0D9D" w14:textId="77777777" w:rsidR="00EA2DF4" w:rsidRDefault="00EA2DF4" w:rsidP="0090350B">
      <w:pPr>
        <w:spacing w:after="0" w:line="240" w:lineRule="auto"/>
      </w:pPr>
      <w:r>
        <w:separator/>
      </w:r>
    </w:p>
  </w:footnote>
  <w:footnote w:type="continuationSeparator" w:id="0">
    <w:p w14:paraId="7026C4A9" w14:textId="77777777" w:rsidR="00EA2DF4" w:rsidRDefault="00EA2DF4" w:rsidP="009035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C7277" w14:textId="0E537A13" w:rsidR="001A5A71" w:rsidRDefault="001A5A71" w:rsidP="00184876">
    <w:pPr>
      <w:pStyle w:val="Header"/>
    </w:pPr>
    <w:r>
      <w:rPr>
        <w:noProof/>
        <w:lang w:eastAsia="en-GB"/>
      </w:rPr>
      <w:drawing>
        <wp:anchor distT="0" distB="0" distL="114300" distR="114300" simplePos="0" relativeHeight="251657216" behindDoc="1" locked="0" layoutInCell="1" allowOverlap="1" wp14:anchorId="4B89F2ED" wp14:editId="27E8CFF4">
          <wp:simplePos x="0" y="0"/>
          <wp:positionH relativeFrom="page">
            <wp:align>left</wp:align>
          </wp:positionH>
          <wp:positionV relativeFrom="page">
            <wp:align>top</wp:align>
          </wp:positionV>
          <wp:extent cx="7560000" cy="10692000"/>
          <wp:effectExtent l="0" t="0" r="0" b="1905"/>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C_PolicyTemplate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0C049E">
      <w:t xml:space="preserve">OPCC – Data Protection Policy </w:t>
    </w:r>
  </w:p>
  <w:p w14:paraId="5E105903" w14:textId="77777777" w:rsidR="001A5A71" w:rsidRDefault="001A5A71">
    <w:pPr>
      <w:pStyle w:val="Header"/>
    </w:pPr>
  </w:p>
  <w:p w14:paraId="04F12DFC" w14:textId="77777777" w:rsidR="008A12C5" w:rsidRDefault="008A12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5140"/>
    <w:multiLevelType w:val="multilevel"/>
    <w:tmpl w:val="6FB61D32"/>
    <w:lvl w:ilvl="0">
      <w:start w:val="1"/>
      <w:numFmt w:val="decimal"/>
      <w:lvlText w:val="%1."/>
      <w:lvlJc w:val="left"/>
      <w:pPr>
        <w:ind w:left="720" w:hanging="360"/>
      </w:pPr>
    </w:lvl>
    <w:lvl w:ilvl="1">
      <w:start w:val="1"/>
      <w:numFmt w:val="decimal"/>
      <w:isLgl/>
      <w:lvlText w:val="%1.%2"/>
      <w:lvlJc w:val="left"/>
      <w:pPr>
        <w:ind w:left="880" w:hanging="5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05A24CB7"/>
    <w:multiLevelType w:val="hybridMultilevel"/>
    <w:tmpl w:val="B2120BBE"/>
    <w:lvl w:ilvl="0" w:tplc="08090001">
      <w:start w:val="1"/>
      <w:numFmt w:val="bullet"/>
      <w:lvlText w:val=""/>
      <w:lvlJc w:val="left"/>
      <w:pPr>
        <w:ind w:left="715" w:hanging="360"/>
      </w:pPr>
      <w:rPr>
        <w:rFonts w:ascii="Symbol" w:hAnsi="Symbol" w:hint="default"/>
      </w:rPr>
    </w:lvl>
    <w:lvl w:ilvl="1" w:tplc="08090003">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2" w15:restartNumberingAfterBreak="0">
    <w:nsid w:val="0BA30BA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F450E3A"/>
    <w:multiLevelType w:val="hybridMultilevel"/>
    <w:tmpl w:val="33A0063E"/>
    <w:lvl w:ilvl="0" w:tplc="8B326A52">
      <w:start w:val="1"/>
      <w:numFmt w:val="decimal"/>
      <w:lvlText w:val="%1."/>
      <w:lvlJc w:val="left"/>
      <w:pPr>
        <w:ind w:left="720" w:hanging="360"/>
      </w:pPr>
      <w:rPr>
        <w:rFonts w:hint="default"/>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1B5B61"/>
    <w:multiLevelType w:val="multilevel"/>
    <w:tmpl w:val="9E42C7E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1747371A"/>
    <w:multiLevelType w:val="hybridMultilevel"/>
    <w:tmpl w:val="8AE27C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9492E89"/>
    <w:multiLevelType w:val="multilevel"/>
    <w:tmpl w:val="A17EDCE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15A2F93"/>
    <w:multiLevelType w:val="hybridMultilevel"/>
    <w:tmpl w:val="C30882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37D2091"/>
    <w:multiLevelType w:val="hybridMultilevel"/>
    <w:tmpl w:val="05F0020C"/>
    <w:lvl w:ilvl="0" w:tplc="08090001">
      <w:start w:val="1"/>
      <w:numFmt w:val="bullet"/>
      <w:lvlText w:val=""/>
      <w:lvlJc w:val="left"/>
      <w:pPr>
        <w:ind w:left="1074"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9" w15:restartNumberingAfterBreak="0">
    <w:nsid w:val="24190382"/>
    <w:multiLevelType w:val="multilevel"/>
    <w:tmpl w:val="87345F6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276D3696"/>
    <w:multiLevelType w:val="hybridMultilevel"/>
    <w:tmpl w:val="0B46F4C2"/>
    <w:lvl w:ilvl="0" w:tplc="C880544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FD4008"/>
    <w:multiLevelType w:val="multilevel"/>
    <w:tmpl w:val="59488538"/>
    <w:lvl w:ilvl="0">
      <w:start w:val="7"/>
      <w:numFmt w:val="decimal"/>
      <w:lvlText w:val="%1"/>
      <w:lvlJc w:val="left"/>
      <w:pPr>
        <w:ind w:left="360" w:hanging="360"/>
      </w:pPr>
      <w:rPr>
        <w:rFonts w:hint="default"/>
        <w:b/>
      </w:rPr>
    </w:lvl>
    <w:lvl w:ilvl="1">
      <w:start w:val="6"/>
      <w:numFmt w:val="decimal"/>
      <w:lvlText w:val="%1.%2"/>
      <w:lvlJc w:val="left"/>
      <w:pPr>
        <w:ind w:left="690" w:hanging="360"/>
      </w:pPr>
      <w:rPr>
        <w:rFonts w:hint="default"/>
        <w:b/>
      </w:rPr>
    </w:lvl>
    <w:lvl w:ilvl="2">
      <w:start w:val="1"/>
      <w:numFmt w:val="decimal"/>
      <w:lvlText w:val="%1.%2.%3"/>
      <w:lvlJc w:val="left"/>
      <w:pPr>
        <w:ind w:left="1380" w:hanging="720"/>
      </w:pPr>
      <w:rPr>
        <w:rFonts w:hint="default"/>
        <w:b/>
      </w:rPr>
    </w:lvl>
    <w:lvl w:ilvl="3">
      <w:start w:val="1"/>
      <w:numFmt w:val="decimal"/>
      <w:lvlText w:val="%1.%2.%3.%4"/>
      <w:lvlJc w:val="left"/>
      <w:pPr>
        <w:ind w:left="2070" w:hanging="1080"/>
      </w:pPr>
      <w:rPr>
        <w:rFonts w:hint="default"/>
        <w:b/>
      </w:rPr>
    </w:lvl>
    <w:lvl w:ilvl="4">
      <w:start w:val="1"/>
      <w:numFmt w:val="decimal"/>
      <w:lvlText w:val="%1.%2.%3.%4.%5"/>
      <w:lvlJc w:val="left"/>
      <w:pPr>
        <w:ind w:left="2400" w:hanging="1080"/>
      </w:pPr>
      <w:rPr>
        <w:rFonts w:hint="default"/>
        <w:b/>
      </w:rPr>
    </w:lvl>
    <w:lvl w:ilvl="5">
      <w:start w:val="1"/>
      <w:numFmt w:val="decimal"/>
      <w:lvlText w:val="%1.%2.%3.%4.%5.%6"/>
      <w:lvlJc w:val="left"/>
      <w:pPr>
        <w:ind w:left="3090" w:hanging="1440"/>
      </w:pPr>
      <w:rPr>
        <w:rFonts w:hint="default"/>
        <w:b/>
      </w:rPr>
    </w:lvl>
    <w:lvl w:ilvl="6">
      <w:start w:val="1"/>
      <w:numFmt w:val="decimal"/>
      <w:lvlText w:val="%1.%2.%3.%4.%5.%6.%7"/>
      <w:lvlJc w:val="left"/>
      <w:pPr>
        <w:ind w:left="3420" w:hanging="1440"/>
      </w:pPr>
      <w:rPr>
        <w:rFonts w:hint="default"/>
        <w:b/>
      </w:rPr>
    </w:lvl>
    <w:lvl w:ilvl="7">
      <w:start w:val="1"/>
      <w:numFmt w:val="decimal"/>
      <w:lvlText w:val="%1.%2.%3.%4.%5.%6.%7.%8"/>
      <w:lvlJc w:val="left"/>
      <w:pPr>
        <w:ind w:left="4110" w:hanging="1800"/>
      </w:pPr>
      <w:rPr>
        <w:rFonts w:hint="default"/>
        <w:b/>
      </w:rPr>
    </w:lvl>
    <w:lvl w:ilvl="8">
      <w:start w:val="1"/>
      <w:numFmt w:val="decimal"/>
      <w:lvlText w:val="%1.%2.%3.%4.%5.%6.%7.%8.%9"/>
      <w:lvlJc w:val="left"/>
      <w:pPr>
        <w:ind w:left="4440" w:hanging="1800"/>
      </w:pPr>
      <w:rPr>
        <w:rFonts w:hint="default"/>
        <w:b/>
      </w:rPr>
    </w:lvl>
  </w:abstractNum>
  <w:abstractNum w:abstractNumId="12" w15:restartNumberingAfterBreak="0">
    <w:nsid w:val="43D20274"/>
    <w:multiLevelType w:val="multilevel"/>
    <w:tmpl w:val="92847D24"/>
    <w:lvl w:ilvl="0">
      <w:start w:val="7"/>
      <w:numFmt w:val="decimal"/>
      <w:lvlText w:val="%1"/>
      <w:lvlJc w:val="left"/>
      <w:pPr>
        <w:ind w:left="360" w:hanging="360"/>
      </w:pPr>
      <w:rPr>
        <w:rFonts w:hint="default"/>
      </w:rPr>
    </w:lvl>
    <w:lvl w:ilvl="1">
      <w:start w:val="3"/>
      <w:numFmt w:val="decimal"/>
      <w:lvlText w:val="%1.%2"/>
      <w:lvlJc w:val="left"/>
      <w:pPr>
        <w:ind w:left="690" w:hanging="360"/>
      </w:pPr>
      <w:rPr>
        <w:rFonts w:hint="default"/>
        <w:b/>
      </w:rPr>
    </w:lvl>
    <w:lvl w:ilvl="2">
      <w:start w:val="1"/>
      <w:numFmt w:val="decimal"/>
      <w:lvlText w:val="%1.%2.%3"/>
      <w:lvlJc w:val="left"/>
      <w:pPr>
        <w:ind w:left="138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440" w:hanging="1800"/>
      </w:pPr>
      <w:rPr>
        <w:rFonts w:hint="default"/>
      </w:rPr>
    </w:lvl>
  </w:abstractNum>
  <w:abstractNum w:abstractNumId="13" w15:restartNumberingAfterBreak="0">
    <w:nsid w:val="44F77E81"/>
    <w:multiLevelType w:val="hybridMultilevel"/>
    <w:tmpl w:val="CB9E16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9D7EEA"/>
    <w:multiLevelType w:val="hybridMultilevel"/>
    <w:tmpl w:val="7A3496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E056B3F"/>
    <w:multiLevelType w:val="hybridMultilevel"/>
    <w:tmpl w:val="3B1AE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3105EE"/>
    <w:multiLevelType w:val="hybridMultilevel"/>
    <w:tmpl w:val="70A60DA8"/>
    <w:lvl w:ilvl="0" w:tplc="08090001">
      <w:start w:val="1"/>
      <w:numFmt w:val="bullet"/>
      <w:lvlText w:val=""/>
      <w:lvlJc w:val="left"/>
      <w:pPr>
        <w:ind w:left="1148" w:hanging="360"/>
      </w:pPr>
      <w:rPr>
        <w:rFonts w:ascii="Symbol" w:hAnsi="Symbol" w:hint="default"/>
      </w:rPr>
    </w:lvl>
    <w:lvl w:ilvl="1" w:tplc="08090003" w:tentative="1">
      <w:start w:val="1"/>
      <w:numFmt w:val="bullet"/>
      <w:lvlText w:val="o"/>
      <w:lvlJc w:val="left"/>
      <w:pPr>
        <w:ind w:left="1868" w:hanging="360"/>
      </w:pPr>
      <w:rPr>
        <w:rFonts w:ascii="Courier New" w:hAnsi="Courier New" w:cs="Courier New" w:hint="default"/>
      </w:rPr>
    </w:lvl>
    <w:lvl w:ilvl="2" w:tplc="08090005" w:tentative="1">
      <w:start w:val="1"/>
      <w:numFmt w:val="bullet"/>
      <w:lvlText w:val=""/>
      <w:lvlJc w:val="left"/>
      <w:pPr>
        <w:ind w:left="2588" w:hanging="360"/>
      </w:pPr>
      <w:rPr>
        <w:rFonts w:ascii="Wingdings" w:hAnsi="Wingdings" w:hint="default"/>
      </w:rPr>
    </w:lvl>
    <w:lvl w:ilvl="3" w:tplc="08090001" w:tentative="1">
      <w:start w:val="1"/>
      <w:numFmt w:val="bullet"/>
      <w:lvlText w:val=""/>
      <w:lvlJc w:val="left"/>
      <w:pPr>
        <w:ind w:left="3308" w:hanging="360"/>
      </w:pPr>
      <w:rPr>
        <w:rFonts w:ascii="Symbol" w:hAnsi="Symbol" w:hint="default"/>
      </w:rPr>
    </w:lvl>
    <w:lvl w:ilvl="4" w:tplc="08090003" w:tentative="1">
      <w:start w:val="1"/>
      <w:numFmt w:val="bullet"/>
      <w:lvlText w:val="o"/>
      <w:lvlJc w:val="left"/>
      <w:pPr>
        <w:ind w:left="4028" w:hanging="360"/>
      </w:pPr>
      <w:rPr>
        <w:rFonts w:ascii="Courier New" w:hAnsi="Courier New" w:cs="Courier New" w:hint="default"/>
      </w:rPr>
    </w:lvl>
    <w:lvl w:ilvl="5" w:tplc="08090005" w:tentative="1">
      <w:start w:val="1"/>
      <w:numFmt w:val="bullet"/>
      <w:lvlText w:val=""/>
      <w:lvlJc w:val="left"/>
      <w:pPr>
        <w:ind w:left="4748" w:hanging="360"/>
      </w:pPr>
      <w:rPr>
        <w:rFonts w:ascii="Wingdings" w:hAnsi="Wingdings" w:hint="default"/>
      </w:rPr>
    </w:lvl>
    <w:lvl w:ilvl="6" w:tplc="08090001" w:tentative="1">
      <w:start w:val="1"/>
      <w:numFmt w:val="bullet"/>
      <w:lvlText w:val=""/>
      <w:lvlJc w:val="left"/>
      <w:pPr>
        <w:ind w:left="5468" w:hanging="360"/>
      </w:pPr>
      <w:rPr>
        <w:rFonts w:ascii="Symbol" w:hAnsi="Symbol" w:hint="default"/>
      </w:rPr>
    </w:lvl>
    <w:lvl w:ilvl="7" w:tplc="08090003" w:tentative="1">
      <w:start w:val="1"/>
      <w:numFmt w:val="bullet"/>
      <w:lvlText w:val="o"/>
      <w:lvlJc w:val="left"/>
      <w:pPr>
        <w:ind w:left="6188" w:hanging="360"/>
      </w:pPr>
      <w:rPr>
        <w:rFonts w:ascii="Courier New" w:hAnsi="Courier New" w:cs="Courier New" w:hint="default"/>
      </w:rPr>
    </w:lvl>
    <w:lvl w:ilvl="8" w:tplc="08090005" w:tentative="1">
      <w:start w:val="1"/>
      <w:numFmt w:val="bullet"/>
      <w:lvlText w:val=""/>
      <w:lvlJc w:val="left"/>
      <w:pPr>
        <w:ind w:left="6908" w:hanging="360"/>
      </w:pPr>
      <w:rPr>
        <w:rFonts w:ascii="Wingdings" w:hAnsi="Wingdings" w:hint="default"/>
      </w:rPr>
    </w:lvl>
  </w:abstractNum>
  <w:abstractNum w:abstractNumId="17" w15:restartNumberingAfterBreak="0">
    <w:nsid w:val="502C7485"/>
    <w:multiLevelType w:val="hybridMultilevel"/>
    <w:tmpl w:val="E3B2E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8F531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E151569"/>
    <w:multiLevelType w:val="hybridMultilevel"/>
    <w:tmpl w:val="42C03376"/>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20" w15:restartNumberingAfterBreak="0">
    <w:nsid w:val="662B4E4C"/>
    <w:multiLevelType w:val="hybridMultilevel"/>
    <w:tmpl w:val="99189346"/>
    <w:lvl w:ilvl="0" w:tplc="51DCF4FA">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BA27123"/>
    <w:multiLevelType w:val="singleLevel"/>
    <w:tmpl w:val="08090001"/>
    <w:lvl w:ilvl="0">
      <w:start w:val="1"/>
      <w:numFmt w:val="bullet"/>
      <w:lvlText w:val=""/>
      <w:lvlJc w:val="left"/>
      <w:pPr>
        <w:ind w:left="720" w:hanging="360"/>
      </w:pPr>
      <w:rPr>
        <w:rFonts w:ascii="Symbol" w:hAnsi="Symbol" w:hint="default"/>
      </w:rPr>
    </w:lvl>
  </w:abstractNum>
  <w:abstractNum w:abstractNumId="22" w15:restartNumberingAfterBreak="0">
    <w:nsid w:val="6CDB5445"/>
    <w:multiLevelType w:val="hybridMultilevel"/>
    <w:tmpl w:val="C276CC2C"/>
    <w:lvl w:ilvl="0" w:tplc="7EA4D6B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8D0B69"/>
    <w:multiLevelType w:val="hybridMultilevel"/>
    <w:tmpl w:val="D0B2C976"/>
    <w:lvl w:ilvl="0" w:tplc="08090001">
      <w:start w:val="1"/>
      <w:numFmt w:val="bullet"/>
      <w:lvlText w:val=""/>
      <w:lvlJc w:val="left"/>
      <w:pPr>
        <w:ind w:left="9099" w:hanging="360"/>
      </w:pPr>
      <w:rPr>
        <w:rFonts w:ascii="Symbol" w:hAnsi="Symbol" w:hint="default"/>
      </w:rPr>
    </w:lvl>
    <w:lvl w:ilvl="1" w:tplc="08090003">
      <w:start w:val="1"/>
      <w:numFmt w:val="bullet"/>
      <w:lvlText w:val="o"/>
      <w:lvlJc w:val="left"/>
      <w:pPr>
        <w:ind w:left="9819" w:hanging="360"/>
      </w:pPr>
      <w:rPr>
        <w:rFonts w:ascii="Courier New" w:hAnsi="Courier New" w:cs="Courier New" w:hint="default"/>
      </w:rPr>
    </w:lvl>
    <w:lvl w:ilvl="2" w:tplc="08090005" w:tentative="1">
      <w:start w:val="1"/>
      <w:numFmt w:val="bullet"/>
      <w:lvlText w:val=""/>
      <w:lvlJc w:val="left"/>
      <w:pPr>
        <w:ind w:left="10539" w:hanging="360"/>
      </w:pPr>
      <w:rPr>
        <w:rFonts w:ascii="Wingdings" w:hAnsi="Wingdings" w:hint="default"/>
      </w:rPr>
    </w:lvl>
    <w:lvl w:ilvl="3" w:tplc="08090001" w:tentative="1">
      <w:start w:val="1"/>
      <w:numFmt w:val="bullet"/>
      <w:lvlText w:val=""/>
      <w:lvlJc w:val="left"/>
      <w:pPr>
        <w:ind w:left="11259" w:hanging="360"/>
      </w:pPr>
      <w:rPr>
        <w:rFonts w:ascii="Symbol" w:hAnsi="Symbol" w:hint="default"/>
      </w:rPr>
    </w:lvl>
    <w:lvl w:ilvl="4" w:tplc="08090003" w:tentative="1">
      <w:start w:val="1"/>
      <w:numFmt w:val="bullet"/>
      <w:lvlText w:val="o"/>
      <w:lvlJc w:val="left"/>
      <w:pPr>
        <w:ind w:left="11979" w:hanging="360"/>
      </w:pPr>
      <w:rPr>
        <w:rFonts w:ascii="Courier New" w:hAnsi="Courier New" w:cs="Courier New" w:hint="default"/>
      </w:rPr>
    </w:lvl>
    <w:lvl w:ilvl="5" w:tplc="08090005" w:tentative="1">
      <w:start w:val="1"/>
      <w:numFmt w:val="bullet"/>
      <w:lvlText w:val=""/>
      <w:lvlJc w:val="left"/>
      <w:pPr>
        <w:ind w:left="12699" w:hanging="360"/>
      </w:pPr>
      <w:rPr>
        <w:rFonts w:ascii="Wingdings" w:hAnsi="Wingdings" w:hint="default"/>
      </w:rPr>
    </w:lvl>
    <w:lvl w:ilvl="6" w:tplc="08090001" w:tentative="1">
      <w:start w:val="1"/>
      <w:numFmt w:val="bullet"/>
      <w:lvlText w:val=""/>
      <w:lvlJc w:val="left"/>
      <w:pPr>
        <w:ind w:left="13419" w:hanging="360"/>
      </w:pPr>
      <w:rPr>
        <w:rFonts w:ascii="Symbol" w:hAnsi="Symbol" w:hint="default"/>
      </w:rPr>
    </w:lvl>
    <w:lvl w:ilvl="7" w:tplc="08090003" w:tentative="1">
      <w:start w:val="1"/>
      <w:numFmt w:val="bullet"/>
      <w:lvlText w:val="o"/>
      <w:lvlJc w:val="left"/>
      <w:pPr>
        <w:ind w:left="14139" w:hanging="360"/>
      </w:pPr>
      <w:rPr>
        <w:rFonts w:ascii="Courier New" w:hAnsi="Courier New" w:cs="Courier New" w:hint="default"/>
      </w:rPr>
    </w:lvl>
    <w:lvl w:ilvl="8" w:tplc="08090005" w:tentative="1">
      <w:start w:val="1"/>
      <w:numFmt w:val="bullet"/>
      <w:lvlText w:val=""/>
      <w:lvlJc w:val="left"/>
      <w:pPr>
        <w:ind w:left="14859" w:hanging="360"/>
      </w:pPr>
      <w:rPr>
        <w:rFonts w:ascii="Wingdings" w:hAnsi="Wingdings" w:hint="default"/>
      </w:rPr>
    </w:lvl>
  </w:abstractNum>
  <w:abstractNum w:abstractNumId="24" w15:restartNumberingAfterBreak="0">
    <w:nsid w:val="75870AC1"/>
    <w:multiLevelType w:val="hybridMultilevel"/>
    <w:tmpl w:val="102EF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9E4578"/>
    <w:multiLevelType w:val="hybridMultilevel"/>
    <w:tmpl w:val="98AEB93A"/>
    <w:lvl w:ilvl="0" w:tplc="EA58D9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EC52EB1"/>
    <w:multiLevelType w:val="hybridMultilevel"/>
    <w:tmpl w:val="B49C4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2394645">
    <w:abstractNumId w:val="26"/>
  </w:num>
  <w:num w:numId="2" w16cid:durableId="46954681">
    <w:abstractNumId w:val="15"/>
  </w:num>
  <w:num w:numId="3" w16cid:durableId="2143695148">
    <w:abstractNumId w:val="18"/>
  </w:num>
  <w:num w:numId="4" w16cid:durableId="1041977564">
    <w:abstractNumId w:val="2"/>
  </w:num>
  <w:num w:numId="5" w16cid:durableId="375353959">
    <w:abstractNumId w:val="21"/>
  </w:num>
  <w:num w:numId="6" w16cid:durableId="27225263">
    <w:abstractNumId w:val="0"/>
  </w:num>
  <w:num w:numId="7" w16cid:durableId="598223049">
    <w:abstractNumId w:val="20"/>
  </w:num>
  <w:num w:numId="8" w16cid:durableId="1510561621">
    <w:abstractNumId w:val="16"/>
  </w:num>
  <w:num w:numId="9" w16cid:durableId="380373721">
    <w:abstractNumId w:val="7"/>
  </w:num>
  <w:num w:numId="10" w16cid:durableId="1010790568">
    <w:abstractNumId w:val="14"/>
  </w:num>
  <w:num w:numId="11" w16cid:durableId="275409342">
    <w:abstractNumId w:val="9"/>
  </w:num>
  <w:num w:numId="12" w16cid:durableId="990527130">
    <w:abstractNumId w:val="4"/>
  </w:num>
  <w:num w:numId="13" w16cid:durableId="89938390">
    <w:abstractNumId w:val="25"/>
  </w:num>
  <w:num w:numId="14" w16cid:durableId="324865259">
    <w:abstractNumId w:val="6"/>
  </w:num>
  <w:num w:numId="15" w16cid:durableId="1621065511">
    <w:abstractNumId w:val="11"/>
  </w:num>
  <w:num w:numId="16" w16cid:durableId="1251083748">
    <w:abstractNumId w:val="12"/>
  </w:num>
  <w:num w:numId="17" w16cid:durableId="1988514263">
    <w:abstractNumId w:val="17"/>
  </w:num>
  <w:num w:numId="18" w16cid:durableId="491068839">
    <w:abstractNumId w:val="24"/>
  </w:num>
  <w:num w:numId="19" w16cid:durableId="1810513426">
    <w:abstractNumId w:val="10"/>
  </w:num>
  <w:num w:numId="20" w16cid:durableId="1262684914">
    <w:abstractNumId w:val="3"/>
  </w:num>
  <w:num w:numId="21" w16cid:durableId="1062102722">
    <w:abstractNumId w:val="23"/>
  </w:num>
  <w:num w:numId="22" w16cid:durableId="1520125090">
    <w:abstractNumId w:val="5"/>
  </w:num>
  <w:num w:numId="23" w16cid:durableId="1659573911">
    <w:abstractNumId w:val="13"/>
  </w:num>
  <w:num w:numId="24" w16cid:durableId="663449">
    <w:abstractNumId w:val="8"/>
  </w:num>
  <w:num w:numId="25" w16cid:durableId="900216858">
    <w:abstractNumId w:val="19"/>
  </w:num>
  <w:num w:numId="26" w16cid:durableId="2093424690">
    <w:abstractNumId w:val="1"/>
  </w:num>
  <w:num w:numId="27" w16cid:durableId="144857165">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592"/>
    <w:rsid w:val="00007F48"/>
    <w:rsid w:val="000202E6"/>
    <w:rsid w:val="000451FC"/>
    <w:rsid w:val="0006237C"/>
    <w:rsid w:val="00072CD4"/>
    <w:rsid w:val="000C049E"/>
    <w:rsid w:val="000F2193"/>
    <w:rsid w:val="000F36A1"/>
    <w:rsid w:val="00110023"/>
    <w:rsid w:val="00127D3A"/>
    <w:rsid w:val="0016420D"/>
    <w:rsid w:val="00184876"/>
    <w:rsid w:val="001864C7"/>
    <w:rsid w:val="001A4777"/>
    <w:rsid w:val="001A5A71"/>
    <w:rsid w:val="001B2C34"/>
    <w:rsid w:val="001C52D1"/>
    <w:rsid w:val="001D3A87"/>
    <w:rsid w:val="0024140B"/>
    <w:rsid w:val="002424DE"/>
    <w:rsid w:val="00260592"/>
    <w:rsid w:val="00265064"/>
    <w:rsid w:val="00272729"/>
    <w:rsid w:val="002C428B"/>
    <w:rsid w:val="002E322F"/>
    <w:rsid w:val="002F3B16"/>
    <w:rsid w:val="002F55A3"/>
    <w:rsid w:val="00345174"/>
    <w:rsid w:val="0035496F"/>
    <w:rsid w:val="003718F3"/>
    <w:rsid w:val="00394686"/>
    <w:rsid w:val="003973E9"/>
    <w:rsid w:val="003C22EA"/>
    <w:rsid w:val="003C60B3"/>
    <w:rsid w:val="003E1714"/>
    <w:rsid w:val="003E4C77"/>
    <w:rsid w:val="003F7C2F"/>
    <w:rsid w:val="004053C8"/>
    <w:rsid w:val="004319E6"/>
    <w:rsid w:val="00441C7A"/>
    <w:rsid w:val="0045131F"/>
    <w:rsid w:val="00460203"/>
    <w:rsid w:val="004658DC"/>
    <w:rsid w:val="00470799"/>
    <w:rsid w:val="00481E53"/>
    <w:rsid w:val="004B358A"/>
    <w:rsid w:val="004C353F"/>
    <w:rsid w:val="004E09B5"/>
    <w:rsid w:val="004E24B8"/>
    <w:rsid w:val="004F24AA"/>
    <w:rsid w:val="004F4AB2"/>
    <w:rsid w:val="0050451A"/>
    <w:rsid w:val="005073C6"/>
    <w:rsid w:val="005102A6"/>
    <w:rsid w:val="00532383"/>
    <w:rsid w:val="00561630"/>
    <w:rsid w:val="00571F88"/>
    <w:rsid w:val="005910C6"/>
    <w:rsid w:val="00591E32"/>
    <w:rsid w:val="005B4C61"/>
    <w:rsid w:val="005B730F"/>
    <w:rsid w:val="005C1C40"/>
    <w:rsid w:val="005F1B68"/>
    <w:rsid w:val="006004F9"/>
    <w:rsid w:val="006126C8"/>
    <w:rsid w:val="00630440"/>
    <w:rsid w:val="006373A9"/>
    <w:rsid w:val="006379B8"/>
    <w:rsid w:val="00662956"/>
    <w:rsid w:val="006753CA"/>
    <w:rsid w:val="00675F6C"/>
    <w:rsid w:val="006A74A0"/>
    <w:rsid w:val="006D03C2"/>
    <w:rsid w:val="006D6744"/>
    <w:rsid w:val="006E29DF"/>
    <w:rsid w:val="00710E6F"/>
    <w:rsid w:val="007216F1"/>
    <w:rsid w:val="007257C7"/>
    <w:rsid w:val="00830F15"/>
    <w:rsid w:val="00851B16"/>
    <w:rsid w:val="00871744"/>
    <w:rsid w:val="008746FB"/>
    <w:rsid w:val="008A12C5"/>
    <w:rsid w:val="008B497F"/>
    <w:rsid w:val="008D3F0C"/>
    <w:rsid w:val="0090350B"/>
    <w:rsid w:val="00941579"/>
    <w:rsid w:val="00942CE5"/>
    <w:rsid w:val="00947C93"/>
    <w:rsid w:val="0095409D"/>
    <w:rsid w:val="00962578"/>
    <w:rsid w:val="00971010"/>
    <w:rsid w:val="00973E0A"/>
    <w:rsid w:val="009828F5"/>
    <w:rsid w:val="009A6FBD"/>
    <w:rsid w:val="009B11A3"/>
    <w:rsid w:val="009B447D"/>
    <w:rsid w:val="00A04634"/>
    <w:rsid w:val="00A16CF7"/>
    <w:rsid w:val="00A2199C"/>
    <w:rsid w:val="00A45C13"/>
    <w:rsid w:val="00A621C6"/>
    <w:rsid w:val="00A90782"/>
    <w:rsid w:val="00A91324"/>
    <w:rsid w:val="00AC74E8"/>
    <w:rsid w:val="00AD2962"/>
    <w:rsid w:val="00AE43BA"/>
    <w:rsid w:val="00B0221C"/>
    <w:rsid w:val="00B71065"/>
    <w:rsid w:val="00BE0131"/>
    <w:rsid w:val="00BE76B3"/>
    <w:rsid w:val="00BF2973"/>
    <w:rsid w:val="00C0374F"/>
    <w:rsid w:val="00C0793B"/>
    <w:rsid w:val="00C76F69"/>
    <w:rsid w:val="00C84D48"/>
    <w:rsid w:val="00C907C3"/>
    <w:rsid w:val="00CA2EF8"/>
    <w:rsid w:val="00CB4E6A"/>
    <w:rsid w:val="00CC519A"/>
    <w:rsid w:val="00CE2E46"/>
    <w:rsid w:val="00CE6455"/>
    <w:rsid w:val="00D15C49"/>
    <w:rsid w:val="00D23E10"/>
    <w:rsid w:val="00D315A6"/>
    <w:rsid w:val="00D404B7"/>
    <w:rsid w:val="00D40748"/>
    <w:rsid w:val="00D41F2C"/>
    <w:rsid w:val="00D4551F"/>
    <w:rsid w:val="00D53017"/>
    <w:rsid w:val="00D9551E"/>
    <w:rsid w:val="00DA2A1E"/>
    <w:rsid w:val="00DA2F94"/>
    <w:rsid w:val="00DB2299"/>
    <w:rsid w:val="00E1072E"/>
    <w:rsid w:val="00E255F7"/>
    <w:rsid w:val="00E41C6A"/>
    <w:rsid w:val="00E851B1"/>
    <w:rsid w:val="00E97264"/>
    <w:rsid w:val="00EA2DF4"/>
    <w:rsid w:val="00EA7663"/>
    <w:rsid w:val="00EE775B"/>
    <w:rsid w:val="00EF0F1D"/>
    <w:rsid w:val="00EF38BB"/>
    <w:rsid w:val="00F04BF6"/>
    <w:rsid w:val="00F1024A"/>
    <w:rsid w:val="00F158B2"/>
    <w:rsid w:val="00F65940"/>
    <w:rsid w:val="00F71ADA"/>
    <w:rsid w:val="00FA085B"/>
    <w:rsid w:val="00FA21EE"/>
    <w:rsid w:val="00FB6645"/>
    <w:rsid w:val="00FD1C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786FA13"/>
  <w15:chartTrackingRefBased/>
  <w15:docId w15:val="{FC81F2A9-FB2D-492E-B17C-EBE8AF4DF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5A3"/>
  </w:style>
  <w:style w:type="paragraph" w:styleId="Heading1">
    <w:name w:val="heading 1"/>
    <w:basedOn w:val="Normal"/>
    <w:next w:val="Normal"/>
    <w:link w:val="Heading1Char"/>
    <w:qFormat/>
    <w:rsid w:val="002F55A3"/>
    <w:pPr>
      <w:keepNext/>
      <w:spacing w:after="0" w:line="240" w:lineRule="auto"/>
      <w:outlineLvl w:val="0"/>
    </w:pPr>
    <w:rPr>
      <w:rFonts w:ascii="Arial" w:eastAsia="Times New Roman" w:hAnsi="Arial" w:cs="Times New Roman"/>
      <w:b/>
      <w:szCs w:val="20"/>
      <w:lang w:eastAsia="en-GB"/>
    </w:rPr>
  </w:style>
  <w:style w:type="paragraph" w:styleId="Heading2">
    <w:name w:val="heading 2"/>
    <w:basedOn w:val="Normal"/>
    <w:next w:val="Normal"/>
    <w:link w:val="Heading2Char"/>
    <w:qFormat/>
    <w:rsid w:val="002F55A3"/>
    <w:pPr>
      <w:keepNext/>
      <w:tabs>
        <w:tab w:val="left" w:pos="1985"/>
      </w:tabs>
      <w:spacing w:after="0" w:line="240" w:lineRule="auto"/>
      <w:ind w:left="34"/>
      <w:jc w:val="right"/>
      <w:outlineLvl w:val="1"/>
    </w:pPr>
    <w:rPr>
      <w:rFonts w:ascii="Arial" w:eastAsia="Times New Roman" w:hAnsi="Arial" w:cs="Times New Roman"/>
      <w:b/>
      <w:szCs w:val="20"/>
      <w:lang w:eastAsia="en-GB"/>
    </w:rPr>
  </w:style>
  <w:style w:type="paragraph" w:styleId="Heading3">
    <w:name w:val="heading 3"/>
    <w:basedOn w:val="Normal"/>
    <w:next w:val="Normal"/>
    <w:link w:val="Heading3Char"/>
    <w:qFormat/>
    <w:rsid w:val="002F55A3"/>
    <w:pPr>
      <w:keepNext/>
      <w:spacing w:after="0" w:line="240" w:lineRule="auto"/>
      <w:jc w:val="center"/>
      <w:outlineLvl w:val="2"/>
    </w:pPr>
    <w:rPr>
      <w:rFonts w:ascii="Arial" w:eastAsia="Times New Roman" w:hAnsi="Arial" w:cs="Times New Roman"/>
      <w:b/>
      <w:sz w:val="24"/>
      <w:szCs w:val="20"/>
      <w:lang w:eastAsia="en-GB"/>
    </w:rPr>
  </w:style>
  <w:style w:type="paragraph" w:styleId="Heading4">
    <w:name w:val="heading 4"/>
    <w:basedOn w:val="Normal"/>
    <w:next w:val="Normal"/>
    <w:link w:val="Heading4Char"/>
    <w:qFormat/>
    <w:rsid w:val="002F55A3"/>
    <w:pPr>
      <w:keepNext/>
      <w:spacing w:after="0" w:line="240" w:lineRule="auto"/>
      <w:ind w:right="-816"/>
      <w:outlineLvl w:val="3"/>
    </w:pPr>
    <w:rPr>
      <w:rFonts w:ascii="Arial" w:eastAsia="Times New Roman" w:hAnsi="Arial" w:cs="Times New Roman"/>
      <w:b/>
      <w:szCs w:val="20"/>
      <w:lang w:eastAsia="en-GB"/>
    </w:rPr>
  </w:style>
  <w:style w:type="paragraph" w:styleId="Heading5">
    <w:name w:val="heading 5"/>
    <w:basedOn w:val="Normal"/>
    <w:next w:val="Normal"/>
    <w:link w:val="Heading5Char"/>
    <w:qFormat/>
    <w:rsid w:val="002F55A3"/>
    <w:pPr>
      <w:keepNext/>
      <w:spacing w:after="0" w:line="240" w:lineRule="auto"/>
      <w:outlineLvl w:val="4"/>
    </w:pPr>
    <w:rPr>
      <w:rFonts w:ascii="Arial" w:eastAsia="Times New Roman" w:hAnsi="Arial" w:cs="Times New Roman"/>
      <w:b/>
      <w:sz w:val="20"/>
      <w:szCs w:val="20"/>
      <w:lang w:eastAsia="en-GB"/>
    </w:rPr>
  </w:style>
  <w:style w:type="paragraph" w:styleId="Heading8">
    <w:name w:val="heading 8"/>
    <w:basedOn w:val="Normal"/>
    <w:next w:val="Normal"/>
    <w:link w:val="Heading8Char"/>
    <w:qFormat/>
    <w:rsid w:val="002F55A3"/>
    <w:pPr>
      <w:keepNext/>
      <w:spacing w:after="60" w:line="240" w:lineRule="auto"/>
      <w:ind w:left="-709"/>
      <w:outlineLvl w:val="7"/>
    </w:pPr>
    <w:rPr>
      <w:rFonts w:ascii="Arial" w:eastAsia="Times New Roman" w:hAnsi="Arial" w:cs="Times New Roman"/>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ustomisabledocumentheading">
    <w:name w:val="Customisable document heading"/>
    <w:basedOn w:val="Normal"/>
    <w:next w:val="Normal"/>
    <w:uiPriority w:val="99"/>
    <w:rsid w:val="00FB6645"/>
    <w:pPr>
      <w:spacing w:after="0" w:line="240" w:lineRule="auto"/>
    </w:pPr>
    <w:rPr>
      <w:rFonts w:ascii="Arial" w:eastAsia="Times New Roman" w:hAnsi="Arial" w:cs="Arial"/>
      <w:b/>
      <w:bCs/>
    </w:rPr>
  </w:style>
  <w:style w:type="paragraph" w:styleId="NormalWeb">
    <w:name w:val="Normal (Web)"/>
    <w:basedOn w:val="Normal"/>
    <w:uiPriority w:val="99"/>
    <w:unhideWhenUsed/>
    <w:rsid w:val="00FB664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0793B"/>
    <w:pPr>
      <w:ind w:left="720"/>
      <w:contextualSpacing/>
    </w:pPr>
  </w:style>
  <w:style w:type="table" w:styleId="GridTable5Dark-Accent1">
    <w:name w:val="Grid Table 5 Dark Accent 1"/>
    <w:basedOn w:val="TableNormal"/>
    <w:uiPriority w:val="50"/>
    <w:rsid w:val="001A47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Header">
    <w:name w:val="header"/>
    <w:basedOn w:val="Normal"/>
    <w:link w:val="HeaderChar"/>
    <w:unhideWhenUsed/>
    <w:rsid w:val="009035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50B"/>
  </w:style>
  <w:style w:type="paragraph" w:styleId="Footer">
    <w:name w:val="footer"/>
    <w:basedOn w:val="Normal"/>
    <w:link w:val="FooterChar"/>
    <w:unhideWhenUsed/>
    <w:rsid w:val="009035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50B"/>
  </w:style>
  <w:style w:type="character" w:styleId="CommentReference">
    <w:name w:val="annotation reference"/>
    <w:basedOn w:val="DefaultParagraphFont"/>
    <w:uiPriority w:val="99"/>
    <w:semiHidden/>
    <w:unhideWhenUsed/>
    <w:rsid w:val="00E851B1"/>
    <w:rPr>
      <w:sz w:val="16"/>
      <w:szCs w:val="16"/>
    </w:rPr>
  </w:style>
  <w:style w:type="paragraph" w:styleId="CommentText">
    <w:name w:val="annotation text"/>
    <w:basedOn w:val="Normal"/>
    <w:link w:val="CommentTextChar"/>
    <w:uiPriority w:val="99"/>
    <w:semiHidden/>
    <w:unhideWhenUsed/>
    <w:rsid w:val="00E851B1"/>
    <w:pPr>
      <w:spacing w:line="240" w:lineRule="auto"/>
    </w:pPr>
    <w:rPr>
      <w:sz w:val="20"/>
      <w:szCs w:val="20"/>
    </w:rPr>
  </w:style>
  <w:style w:type="character" w:customStyle="1" w:styleId="CommentTextChar">
    <w:name w:val="Comment Text Char"/>
    <w:basedOn w:val="DefaultParagraphFont"/>
    <w:link w:val="CommentText"/>
    <w:uiPriority w:val="99"/>
    <w:semiHidden/>
    <w:rsid w:val="00E851B1"/>
    <w:rPr>
      <w:sz w:val="20"/>
      <w:szCs w:val="20"/>
    </w:rPr>
  </w:style>
  <w:style w:type="paragraph" w:styleId="CommentSubject">
    <w:name w:val="annotation subject"/>
    <w:basedOn w:val="CommentText"/>
    <w:next w:val="CommentText"/>
    <w:link w:val="CommentSubjectChar"/>
    <w:uiPriority w:val="99"/>
    <w:semiHidden/>
    <w:unhideWhenUsed/>
    <w:rsid w:val="00E851B1"/>
    <w:rPr>
      <w:b/>
      <w:bCs/>
    </w:rPr>
  </w:style>
  <w:style w:type="character" w:customStyle="1" w:styleId="CommentSubjectChar">
    <w:name w:val="Comment Subject Char"/>
    <w:basedOn w:val="CommentTextChar"/>
    <w:link w:val="CommentSubject"/>
    <w:uiPriority w:val="99"/>
    <w:semiHidden/>
    <w:rsid w:val="00E851B1"/>
    <w:rPr>
      <w:b/>
      <w:bCs/>
      <w:sz w:val="20"/>
      <w:szCs w:val="20"/>
    </w:rPr>
  </w:style>
  <w:style w:type="paragraph" w:styleId="BalloonText">
    <w:name w:val="Balloon Text"/>
    <w:basedOn w:val="Normal"/>
    <w:link w:val="BalloonTextChar"/>
    <w:uiPriority w:val="99"/>
    <w:semiHidden/>
    <w:unhideWhenUsed/>
    <w:rsid w:val="00E851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1B1"/>
    <w:rPr>
      <w:rFonts w:ascii="Segoe UI" w:hAnsi="Segoe UI" w:cs="Segoe UI"/>
      <w:sz w:val="18"/>
      <w:szCs w:val="18"/>
    </w:rPr>
  </w:style>
  <w:style w:type="table" w:styleId="TableGrid">
    <w:name w:val="Table Grid"/>
    <w:basedOn w:val="TableNormal"/>
    <w:uiPriority w:val="39"/>
    <w:rsid w:val="00E85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E851B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yperlink">
    <w:name w:val="Hyperlink"/>
    <w:basedOn w:val="DefaultParagraphFont"/>
    <w:uiPriority w:val="99"/>
    <w:unhideWhenUsed/>
    <w:rsid w:val="006E29DF"/>
    <w:rPr>
      <w:color w:val="0563C1" w:themeColor="hyperlink"/>
      <w:u w:val="single"/>
    </w:rPr>
  </w:style>
  <w:style w:type="paragraph" w:customStyle="1" w:styleId="Default">
    <w:name w:val="Default"/>
    <w:rsid w:val="00532383"/>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rsid w:val="002F55A3"/>
    <w:rPr>
      <w:rFonts w:ascii="Arial" w:eastAsia="Times New Roman" w:hAnsi="Arial" w:cs="Times New Roman"/>
      <w:b/>
      <w:szCs w:val="20"/>
      <w:lang w:eastAsia="en-GB"/>
    </w:rPr>
  </w:style>
  <w:style w:type="character" w:customStyle="1" w:styleId="Heading2Char">
    <w:name w:val="Heading 2 Char"/>
    <w:basedOn w:val="DefaultParagraphFont"/>
    <w:link w:val="Heading2"/>
    <w:rsid w:val="002F55A3"/>
    <w:rPr>
      <w:rFonts w:ascii="Arial" w:eastAsia="Times New Roman" w:hAnsi="Arial" w:cs="Times New Roman"/>
      <w:b/>
      <w:szCs w:val="20"/>
      <w:lang w:eastAsia="en-GB"/>
    </w:rPr>
  </w:style>
  <w:style w:type="character" w:customStyle="1" w:styleId="Heading3Char">
    <w:name w:val="Heading 3 Char"/>
    <w:basedOn w:val="DefaultParagraphFont"/>
    <w:link w:val="Heading3"/>
    <w:rsid w:val="002F55A3"/>
    <w:rPr>
      <w:rFonts w:ascii="Arial" w:eastAsia="Times New Roman" w:hAnsi="Arial" w:cs="Times New Roman"/>
      <w:b/>
      <w:sz w:val="24"/>
      <w:szCs w:val="20"/>
      <w:lang w:eastAsia="en-GB"/>
    </w:rPr>
  </w:style>
  <w:style w:type="character" w:customStyle="1" w:styleId="Heading4Char">
    <w:name w:val="Heading 4 Char"/>
    <w:basedOn w:val="DefaultParagraphFont"/>
    <w:link w:val="Heading4"/>
    <w:rsid w:val="002F55A3"/>
    <w:rPr>
      <w:rFonts w:ascii="Arial" w:eastAsia="Times New Roman" w:hAnsi="Arial" w:cs="Times New Roman"/>
      <w:b/>
      <w:szCs w:val="20"/>
      <w:lang w:eastAsia="en-GB"/>
    </w:rPr>
  </w:style>
  <w:style w:type="character" w:customStyle="1" w:styleId="Heading5Char">
    <w:name w:val="Heading 5 Char"/>
    <w:basedOn w:val="DefaultParagraphFont"/>
    <w:link w:val="Heading5"/>
    <w:rsid w:val="002F55A3"/>
    <w:rPr>
      <w:rFonts w:ascii="Arial" w:eastAsia="Times New Roman" w:hAnsi="Arial" w:cs="Times New Roman"/>
      <w:b/>
      <w:sz w:val="20"/>
      <w:szCs w:val="20"/>
      <w:lang w:eastAsia="en-GB"/>
    </w:rPr>
  </w:style>
  <w:style w:type="character" w:customStyle="1" w:styleId="Heading8Char">
    <w:name w:val="Heading 8 Char"/>
    <w:basedOn w:val="DefaultParagraphFont"/>
    <w:link w:val="Heading8"/>
    <w:rsid w:val="002F55A3"/>
    <w:rPr>
      <w:rFonts w:ascii="Arial" w:eastAsia="Times New Roman" w:hAnsi="Arial" w:cs="Times New Roman"/>
      <w:b/>
      <w:szCs w:val="20"/>
      <w:lang w:eastAsia="en-GB"/>
    </w:rPr>
  </w:style>
  <w:style w:type="paragraph" w:styleId="BodyText">
    <w:name w:val="Body Text"/>
    <w:basedOn w:val="Normal"/>
    <w:link w:val="BodyTextChar"/>
    <w:semiHidden/>
    <w:rsid w:val="002F55A3"/>
    <w:pPr>
      <w:spacing w:before="120" w:after="0" w:line="240" w:lineRule="auto"/>
    </w:pPr>
    <w:rPr>
      <w:rFonts w:ascii="Arial" w:eastAsia="Times New Roman" w:hAnsi="Arial" w:cs="Times New Roman"/>
      <w:b/>
      <w:szCs w:val="20"/>
      <w:lang w:eastAsia="en-GB"/>
    </w:rPr>
  </w:style>
  <w:style w:type="character" w:customStyle="1" w:styleId="BodyTextChar">
    <w:name w:val="Body Text Char"/>
    <w:basedOn w:val="DefaultParagraphFont"/>
    <w:link w:val="BodyText"/>
    <w:semiHidden/>
    <w:rsid w:val="002F55A3"/>
    <w:rPr>
      <w:rFonts w:ascii="Arial" w:eastAsia="Times New Roman" w:hAnsi="Arial" w:cs="Times New Roman"/>
      <w:b/>
      <w:szCs w:val="20"/>
      <w:lang w:eastAsia="en-GB"/>
    </w:rPr>
  </w:style>
  <w:style w:type="paragraph" w:styleId="Caption">
    <w:name w:val="caption"/>
    <w:basedOn w:val="Normal"/>
    <w:next w:val="Normal"/>
    <w:qFormat/>
    <w:rsid w:val="002F55A3"/>
    <w:pPr>
      <w:spacing w:after="0" w:line="240" w:lineRule="auto"/>
    </w:pPr>
    <w:rPr>
      <w:rFonts w:ascii="Arial" w:eastAsia="Times New Roman" w:hAnsi="Arial" w:cs="Times New Roman"/>
      <w:b/>
      <w:szCs w:val="20"/>
      <w:lang w:eastAsia="en-GB"/>
    </w:rPr>
  </w:style>
  <w:style w:type="paragraph" w:styleId="BodyTextIndent">
    <w:name w:val="Body Text Indent"/>
    <w:basedOn w:val="Normal"/>
    <w:link w:val="BodyTextIndentChar"/>
    <w:semiHidden/>
    <w:rsid w:val="002F55A3"/>
    <w:pPr>
      <w:spacing w:after="0" w:line="240" w:lineRule="auto"/>
      <w:ind w:left="-709"/>
    </w:pPr>
    <w:rPr>
      <w:rFonts w:ascii="Arial" w:eastAsia="Times New Roman" w:hAnsi="Arial" w:cs="Times New Roman"/>
      <w:b/>
      <w:szCs w:val="20"/>
      <w:lang w:eastAsia="en-GB"/>
    </w:rPr>
  </w:style>
  <w:style w:type="character" w:customStyle="1" w:styleId="BodyTextIndentChar">
    <w:name w:val="Body Text Indent Char"/>
    <w:basedOn w:val="DefaultParagraphFont"/>
    <w:link w:val="BodyTextIndent"/>
    <w:semiHidden/>
    <w:rsid w:val="002F55A3"/>
    <w:rPr>
      <w:rFonts w:ascii="Arial" w:eastAsia="Times New Roman" w:hAnsi="Arial" w:cs="Times New Roman"/>
      <w:b/>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7602973">
      <w:bodyDiv w:val="1"/>
      <w:marLeft w:val="0"/>
      <w:marRight w:val="0"/>
      <w:marTop w:val="0"/>
      <w:marBottom w:val="0"/>
      <w:divBdr>
        <w:top w:val="none" w:sz="0" w:space="0" w:color="auto"/>
        <w:left w:val="none" w:sz="0" w:space="0" w:color="auto"/>
        <w:bottom w:val="none" w:sz="0" w:space="0" w:color="auto"/>
        <w:right w:val="none" w:sz="0" w:space="0" w:color="auto"/>
      </w:divBdr>
    </w:div>
    <w:div w:id="878512785">
      <w:bodyDiv w:val="1"/>
      <w:marLeft w:val="0"/>
      <w:marRight w:val="0"/>
      <w:marTop w:val="0"/>
      <w:marBottom w:val="0"/>
      <w:divBdr>
        <w:top w:val="none" w:sz="0" w:space="0" w:color="auto"/>
        <w:left w:val="none" w:sz="0" w:space="0" w:color="auto"/>
        <w:bottom w:val="none" w:sz="0" w:space="0" w:color="auto"/>
        <w:right w:val="none" w:sz="0" w:space="0" w:color="auto"/>
      </w:divBdr>
    </w:div>
    <w:div w:id="1103840018">
      <w:bodyDiv w:val="1"/>
      <w:marLeft w:val="0"/>
      <w:marRight w:val="0"/>
      <w:marTop w:val="0"/>
      <w:marBottom w:val="0"/>
      <w:divBdr>
        <w:top w:val="none" w:sz="0" w:space="0" w:color="auto"/>
        <w:left w:val="none" w:sz="0" w:space="0" w:color="auto"/>
        <w:bottom w:val="none" w:sz="0" w:space="0" w:color="auto"/>
        <w:right w:val="none" w:sz="0" w:space="0" w:color="auto"/>
      </w:divBdr>
      <w:divsChild>
        <w:div w:id="274753875">
          <w:marLeft w:val="0"/>
          <w:marRight w:val="0"/>
          <w:marTop w:val="0"/>
          <w:marBottom w:val="0"/>
          <w:divBdr>
            <w:top w:val="none" w:sz="0" w:space="0" w:color="auto"/>
            <w:left w:val="none" w:sz="0" w:space="0" w:color="auto"/>
            <w:bottom w:val="none" w:sz="0" w:space="0" w:color="auto"/>
            <w:right w:val="none" w:sz="0" w:space="0" w:color="auto"/>
          </w:divBdr>
          <w:divsChild>
            <w:div w:id="1002977735">
              <w:marLeft w:val="0"/>
              <w:marRight w:val="0"/>
              <w:marTop w:val="0"/>
              <w:marBottom w:val="0"/>
              <w:divBdr>
                <w:top w:val="none" w:sz="0" w:space="0" w:color="auto"/>
                <w:left w:val="none" w:sz="0" w:space="0" w:color="auto"/>
                <w:bottom w:val="none" w:sz="0" w:space="0" w:color="auto"/>
                <w:right w:val="none" w:sz="0" w:space="0" w:color="auto"/>
              </w:divBdr>
              <w:divsChild>
                <w:div w:id="166869051">
                  <w:marLeft w:val="0"/>
                  <w:marRight w:val="0"/>
                  <w:marTop w:val="0"/>
                  <w:marBottom w:val="120"/>
                  <w:divBdr>
                    <w:top w:val="none" w:sz="0" w:space="0" w:color="auto"/>
                    <w:left w:val="none" w:sz="0" w:space="0" w:color="auto"/>
                    <w:bottom w:val="none" w:sz="0" w:space="0" w:color="auto"/>
                    <w:right w:val="none" w:sz="0" w:space="0" w:color="auto"/>
                  </w:divBdr>
                  <w:divsChild>
                    <w:div w:id="2060587236">
                      <w:marLeft w:val="0"/>
                      <w:marRight w:val="0"/>
                      <w:marTop w:val="0"/>
                      <w:marBottom w:val="0"/>
                      <w:divBdr>
                        <w:top w:val="none" w:sz="0" w:space="0" w:color="auto"/>
                        <w:left w:val="none" w:sz="0" w:space="0" w:color="auto"/>
                        <w:bottom w:val="none" w:sz="0" w:space="0" w:color="auto"/>
                        <w:right w:val="none" w:sz="0" w:space="0" w:color="auto"/>
                      </w:divBdr>
                      <w:divsChild>
                        <w:div w:id="194999604">
                          <w:marLeft w:val="0"/>
                          <w:marRight w:val="0"/>
                          <w:marTop w:val="120"/>
                          <w:marBottom w:val="480"/>
                          <w:divBdr>
                            <w:top w:val="none" w:sz="0" w:space="0" w:color="auto"/>
                            <w:left w:val="none" w:sz="0" w:space="0" w:color="auto"/>
                            <w:bottom w:val="none" w:sz="0" w:space="0" w:color="auto"/>
                            <w:right w:val="none" w:sz="0" w:space="0" w:color="auto"/>
                          </w:divBdr>
                          <w:divsChild>
                            <w:div w:id="312949317">
                              <w:marLeft w:val="0"/>
                              <w:marRight w:val="0"/>
                              <w:marTop w:val="120"/>
                              <w:marBottom w:val="120"/>
                              <w:divBdr>
                                <w:top w:val="none" w:sz="0" w:space="0" w:color="auto"/>
                                <w:left w:val="none" w:sz="0" w:space="0" w:color="auto"/>
                                <w:bottom w:val="none" w:sz="0" w:space="0" w:color="auto"/>
                                <w:right w:val="none" w:sz="0" w:space="0" w:color="auto"/>
                              </w:divBdr>
                              <w:divsChild>
                                <w:div w:id="1380478430">
                                  <w:marLeft w:val="0"/>
                                  <w:marRight w:val="0"/>
                                  <w:marTop w:val="0"/>
                                  <w:marBottom w:val="0"/>
                                  <w:divBdr>
                                    <w:top w:val="none" w:sz="0" w:space="0" w:color="auto"/>
                                    <w:left w:val="none" w:sz="0" w:space="0" w:color="auto"/>
                                    <w:bottom w:val="none" w:sz="0" w:space="0" w:color="auto"/>
                                    <w:right w:val="none" w:sz="0" w:space="0" w:color="auto"/>
                                  </w:divBdr>
                                  <w:divsChild>
                                    <w:div w:id="1921787608">
                                      <w:marLeft w:val="0"/>
                                      <w:marRight w:val="0"/>
                                      <w:marTop w:val="0"/>
                                      <w:marBottom w:val="0"/>
                                      <w:divBdr>
                                        <w:top w:val="none" w:sz="0" w:space="0" w:color="auto"/>
                                        <w:left w:val="none" w:sz="0" w:space="0" w:color="auto"/>
                                        <w:bottom w:val="none" w:sz="0" w:space="0" w:color="auto"/>
                                        <w:right w:val="none" w:sz="0" w:space="0" w:color="auto"/>
                                      </w:divBdr>
                                      <w:divsChild>
                                        <w:div w:id="125882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0003528">
      <w:bodyDiv w:val="1"/>
      <w:marLeft w:val="0"/>
      <w:marRight w:val="0"/>
      <w:marTop w:val="0"/>
      <w:marBottom w:val="0"/>
      <w:divBdr>
        <w:top w:val="none" w:sz="0" w:space="0" w:color="auto"/>
        <w:left w:val="none" w:sz="0" w:space="0" w:color="auto"/>
        <w:bottom w:val="none" w:sz="0" w:space="0" w:color="auto"/>
        <w:right w:val="none" w:sz="0" w:space="0" w:color="auto"/>
      </w:divBdr>
      <w:divsChild>
        <w:div w:id="494494856">
          <w:marLeft w:val="0"/>
          <w:marRight w:val="0"/>
          <w:marTop w:val="0"/>
          <w:marBottom w:val="0"/>
          <w:divBdr>
            <w:top w:val="none" w:sz="0" w:space="0" w:color="auto"/>
            <w:left w:val="none" w:sz="0" w:space="0" w:color="auto"/>
            <w:bottom w:val="none" w:sz="0" w:space="0" w:color="auto"/>
            <w:right w:val="none" w:sz="0" w:space="0" w:color="auto"/>
          </w:divBdr>
          <w:divsChild>
            <w:div w:id="1855028043">
              <w:marLeft w:val="0"/>
              <w:marRight w:val="0"/>
              <w:marTop w:val="0"/>
              <w:marBottom w:val="0"/>
              <w:divBdr>
                <w:top w:val="none" w:sz="0" w:space="0" w:color="auto"/>
                <w:left w:val="none" w:sz="0" w:space="0" w:color="auto"/>
                <w:bottom w:val="none" w:sz="0" w:space="0" w:color="auto"/>
                <w:right w:val="none" w:sz="0" w:space="0" w:color="auto"/>
              </w:divBdr>
              <w:divsChild>
                <w:div w:id="2013293201">
                  <w:marLeft w:val="0"/>
                  <w:marRight w:val="0"/>
                  <w:marTop w:val="0"/>
                  <w:marBottom w:val="120"/>
                  <w:divBdr>
                    <w:top w:val="none" w:sz="0" w:space="0" w:color="auto"/>
                    <w:left w:val="none" w:sz="0" w:space="0" w:color="auto"/>
                    <w:bottom w:val="none" w:sz="0" w:space="0" w:color="auto"/>
                    <w:right w:val="none" w:sz="0" w:space="0" w:color="auto"/>
                  </w:divBdr>
                  <w:divsChild>
                    <w:div w:id="1580169901">
                      <w:marLeft w:val="0"/>
                      <w:marRight w:val="0"/>
                      <w:marTop w:val="0"/>
                      <w:marBottom w:val="0"/>
                      <w:divBdr>
                        <w:top w:val="none" w:sz="0" w:space="0" w:color="auto"/>
                        <w:left w:val="none" w:sz="0" w:space="0" w:color="auto"/>
                        <w:bottom w:val="none" w:sz="0" w:space="0" w:color="auto"/>
                        <w:right w:val="none" w:sz="0" w:space="0" w:color="auto"/>
                      </w:divBdr>
                      <w:divsChild>
                        <w:div w:id="1098525011">
                          <w:marLeft w:val="0"/>
                          <w:marRight w:val="0"/>
                          <w:marTop w:val="120"/>
                          <w:marBottom w:val="480"/>
                          <w:divBdr>
                            <w:top w:val="none" w:sz="0" w:space="0" w:color="auto"/>
                            <w:left w:val="none" w:sz="0" w:space="0" w:color="auto"/>
                            <w:bottom w:val="none" w:sz="0" w:space="0" w:color="auto"/>
                            <w:right w:val="none" w:sz="0" w:space="0" w:color="auto"/>
                          </w:divBdr>
                          <w:divsChild>
                            <w:div w:id="1588269172">
                              <w:marLeft w:val="0"/>
                              <w:marRight w:val="0"/>
                              <w:marTop w:val="120"/>
                              <w:marBottom w:val="120"/>
                              <w:divBdr>
                                <w:top w:val="none" w:sz="0" w:space="0" w:color="auto"/>
                                <w:left w:val="none" w:sz="0" w:space="0" w:color="auto"/>
                                <w:bottom w:val="none" w:sz="0" w:space="0" w:color="auto"/>
                                <w:right w:val="none" w:sz="0" w:space="0" w:color="auto"/>
                              </w:divBdr>
                              <w:divsChild>
                                <w:div w:id="1260990256">
                                  <w:marLeft w:val="0"/>
                                  <w:marRight w:val="0"/>
                                  <w:marTop w:val="0"/>
                                  <w:marBottom w:val="0"/>
                                  <w:divBdr>
                                    <w:top w:val="none" w:sz="0" w:space="0" w:color="auto"/>
                                    <w:left w:val="none" w:sz="0" w:space="0" w:color="auto"/>
                                    <w:bottom w:val="none" w:sz="0" w:space="0" w:color="auto"/>
                                    <w:right w:val="none" w:sz="0" w:space="0" w:color="auto"/>
                                  </w:divBdr>
                                  <w:divsChild>
                                    <w:div w:id="2059162975">
                                      <w:marLeft w:val="0"/>
                                      <w:marRight w:val="0"/>
                                      <w:marTop w:val="0"/>
                                      <w:marBottom w:val="0"/>
                                      <w:divBdr>
                                        <w:top w:val="none" w:sz="0" w:space="0" w:color="auto"/>
                                        <w:left w:val="none" w:sz="0" w:space="0" w:color="auto"/>
                                        <w:bottom w:val="none" w:sz="0" w:space="0" w:color="auto"/>
                                        <w:right w:val="none" w:sz="0" w:space="0" w:color="auto"/>
                                      </w:divBdr>
                                      <w:divsChild>
                                        <w:div w:id="119256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1359399">
      <w:bodyDiv w:val="1"/>
      <w:marLeft w:val="0"/>
      <w:marRight w:val="0"/>
      <w:marTop w:val="0"/>
      <w:marBottom w:val="0"/>
      <w:divBdr>
        <w:top w:val="none" w:sz="0" w:space="0" w:color="auto"/>
        <w:left w:val="none" w:sz="0" w:space="0" w:color="auto"/>
        <w:bottom w:val="none" w:sz="0" w:space="0" w:color="auto"/>
        <w:right w:val="none" w:sz="0" w:space="0" w:color="auto"/>
      </w:divBdr>
      <w:divsChild>
        <w:div w:id="1416593072">
          <w:marLeft w:val="0"/>
          <w:marRight w:val="0"/>
          <w:marTop w:val="0"/>
          <w:marBottom w:val="0"/>
          <w:divBdr>
            <w:top w:val="none" w:sz="0" w:space="0" w:color="auto"/>
            <w:left w:val="none" w:sz="0" w:space="0" w:color="auto"/>
            <w:bottom w:val="none" w:sz="0" w:space="0" w:color="auto"/>
            <w:right w:val="none" w:sz="0" w:space="0" w:color="auto"/>
          </w:divBdr>
          <w:divsChild>
            <w:div w:id="48311695">
              <w:marLeft w:val="0"/>
              <w:marRight w:val="0"/>
              <w:marTop w:val="0"/>
              <w:marBottom w:val="0"/>
              <w:divBdr>
                <w:top w:val="none" w:sz="0" w:space="0" w:color="auto"/>
                <w:left w:val="none" w:sz="0" w:space="0" w:color="auto"/>
                <w:bottom w:val="none" w:sz="0" w:space="0" w:color="auto"/>
                <w:right w:val="none" w:sz="0" w:space="0" w:color="auto"/>
              </w:divBdr>
              <w:divsChild>
                <w:div w:id="1433624489">
                  <w:marLeft w:val="0"/>
                  <w:marRight w:val="0"/>
                  <w:marTop w:val="0"/>
                  <w:marBottom w:val="120"/>
                  <w:divBdr>
                    <w:top w:val="none" w:sz="0" w:space="0" w:color="auto"/>
                    <w:left w:val="none" w:sz="0" w:space="0" w:color="auto"/>
                    <w:bottom w:val="none" w:sz="0" w:space="0" w:color="auto"/>
                    <w:right w:val="none" w:sz="0" w:space="0" w:color="auto"/>
                  </w:divBdr>
                  <w:divsChild>
                    <w:div w:id="939147934">
                      <w:marLeft w:val="0"/>
                      <w:marRight w:val="0"/>
                      <w:marTop w:val="0"/>
                      <w:marBottom w:val="0"/>
                      <w:divBdr>
                        <w:top w:val="none" w:sz="0" w:space="0" w:color="auto"/>
                        <w:left w:val="none" w:sz="0" w:space="0" w:color="auto"/>
                        <w:bottom w:val="none" w:sz="0" w:space="0" w:color="auto"/>
                        <w:right w:val="none" w:sz="0" w:space="0" w:color="auto"/>
                      </w:divBdr>
                      <w:divsChild>
                        <w:div w:id="1167481106">
                          <w:marLeft w:val="0"/>
                          <w:marRight w:val="0"/>
                          <w:marTop w:val="120"/>
                          <w:marBottom w:val="480"/>
                          <w:divBdr>
                            <w:top w:val="none" w:sz="0" w:space="0" w:color="auto"/>
                            <w:left w:val="none" w:sz="0" w:space="0" w:color="auto"/>
                            <w:bottom w:val="none" w:sz="0" w:space="0" w:color="auto"/>
                            <w:right w:val="none" w:sz="0" w:space="0" w:color="auto"/>
                          </w:divBdr>
                          <w:divsChild>
                            <w:div w:id="1494756807">
                              <w:marLeft w:val="0"/>
                              <w:marRight w:val="0"/>
                              <w:marTop w:val="120"/>
                              <w:marBottom w:val="120"/>
                              <w:divBdr>
                                <w:top w:val="none" w:sz="0" w:space="0" w:color="auto"/>
                                <w:left w:val="none" w:sz="0" w:space="0" w:color="auto"/>
                                <w:bottom w:val="none" w:sz="0" w:space="0" w:color="auto"/>
                                <w:right w:val="none" w:sz="0" w:space="0" w:color="auto"/>
                              </w:divBdr>
                              <w:divsChild>
                                <w:div w:id="1770545535">
                                  <w:marLeft w:val="0"/>
                                  <w:marRight w:val="0"/>
                                  <w:marTop w:val="0"/>
                                  <w:marBottom w:val="0"/>
                                  <w:divBdr>
                                    <w:top w:val="none" w:sz="0" w:space="0" w:color="auto"/>
                                    <w:left w:val="none" w:sz="0" w:space="0" w:color="auto"/>
                                    <w:bottom w:val="none" w:sz="0" w:space="0" w:color="auto"/>
                                    <w:right w:val="none" w:sz="0" w:space="0" w:color="auto"/>
                                  </w:divBdr>
                                  <w:divsChild>
                                    <w:div w:id="856653198">
                                      <w:marLeft w:val="0"/>
                                      <w:marRight w:val="0"/>
                                      <w:marTop w:val="0"/>
                                      <w:marBottom w:val="0"/>
                                      <w:divBdr>
                                        <w:top w:val="none" w:sz="0" w:space="0" w:color="auto"/>
                                        <w:left w:val="none" w:sz="0" w:space="0" w:color="auto"/>
                                        <w:bottom w:val="none" w:sz="0" w:space="0" w:color="auto"/>
                                        <w:right w:val="none" w:sz="0" w:space="0" w:color="auto"/>
                                      </w:divBdr>
                                      <w:divsChild>
                                        <w:div w:id="437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0108338">
      <w:bodyDiv w:val="1"/>
      <w:marLeft w:val="0"/>
      <w:marRight w:val="0"/>
      <w:marTop w:val="0"/>
      <w:marBottom w:val="0"/>
      <w:divBdr>
        <w:top w:val="none" w:sz="0" w:space="0" w:color="auto"/>
        <w:left w:val="none" w:sz="0" w:space="0" w:color="auto"/>
        <w:bottom w:val="none" w:sz="0" w:space="0" w:color="auto"/>
        <w:right w:val="none" w:sz="0" w:space="0" w:color="auto"/>
      </w:divBdr>
      <w:divsChild>
        <w:div w:id="603268545">
          <w:marLeft w:val="0"/>
          <w:marRight w:val="0"/>
          <w:marTop w:val="0"/>
          <w:marBottom w:val="0"/>
          <w:divBdr>
            <w:top w:val="none" w:sz="0" w:space="0" w:color="auto"/>
            <w:left w:val="none" w:sz="0" w:space="0" w:color="auto"/>
            <w:bottom w:val="none" w:sz="0" w:space="0" w:color="auto"/>
            <w:right w:val="none" w:sz="0" w:space="0" w:color="auto"/>
          </w:divBdr>
          <w:divsChild>
            <w:div w:id="1574125340">
              <w:marLeft w:val="0"/>
              <w:marRight w:val="0"/>
              <w:marTop w:val="0"/>
              <w:marBottom w:val="0"/>
              <w:divBdr>
                <w:top w:val="none" w:sz="0" w:space="0" w:color="auto"/>
                <w:left w:val="none" w:sz="0" w:space="0" w:color="auto"/>
                <w:bottom w:val="none" w:sz="0" w:space="0" w:color="auto"/>
                <w:right w:val="none" w:sz="0" w:space="0" w:color="auto"/>
              </w:divBdr>
              <w:divsChild>
                <w:div w:id="311175730">
                  <w:marLeft w:val="0"/>
                  <w:marRight w:val="0"/>
                  <w:marTop w:val="0"/>
                  <w:marBottom w:val="120"/>
                  <w:divBdr>
                    <w:top w:val="none" w:sz="0" w:space="0" w:color="auto"/>
                    <w:left w:val="none" w:sz="0" w:space="0" w:color="auto"/>
                    <w:bottom w:val="none" w:sz="0" w:space="0" w:color="auto"/>
                    <w:right w:val="none" w:sz="0" w:space="0" w:color="auto"/>
                  </w:divBdr>
                  <w:divsChild>
                    <w:div w:id="1819109447">
                      <w:marLeft w:val="0"/>
                      <w:marRight w:val="0"/>
                      <w:marTop w:val="0"/>
                      <w:marBottom w:val="0"/>
                      <w:divBdr>
                        <w:top w:val="none" w:sz="0" w:space="0" w:color="auto"/>
                        <w:left w:val="none" w:sz="0" w:space="0" w:color="auto"/>
                        <w:bottom w:val="none" w:sz="0" w:space="0" w:color="auto"/>
                        <w:right w:val="none" w:sz="0" w:space="0" w:color="auto"/>
                      </w:divBdr>
                      <w:divsChild>
                        <w:div w:id="1878619841">
                          <w:marLeft w:val="0"/>
                          <w:marRight w:val="0"/>
                          <w:marTop w:val="120"/>
                          <w:marBottom w:val="480"/>
                          <w:divBdr>
                            <w:top w:val="none" w:sz="0" w:space="0" w:color="auto"/>
                            <w:left w:val="none" w:sz="0" w:space="0" w:color="auto"/>
                            <w:bottom w:val="none" w:sz="0" w:space="0" w:color="auto"/>
                            <w:right w:val="none" w:sz="0" w:space="0" w:color="auto"/>
                          </w:divBdr>
                          <w:divsChild>
                            <w:div w:id="602958134">
                              <w:marLeft w:val="0"/>
                              <w:marRight w:val="0"/>
                              <w:marTop w:val="120"/>
                              <w:marBottom w:val="120"/>
                              <w:divBdr>
                                <w:top w:val="none" w:sz="0" w:space="0" w:color="auto"/>
                                <w:left w:val="none" w:sz="0" w:space="0" w:color="auto"/>
                                <w:bottom w:val="none" w:sz="0" w:space="0" w:color="auto"/>
                                <w:right w:val="none" w:sz="0" w:space="0" w:color="auto"/>
                              </w:divBdr>
                              <w:divsChild>
                                <w:div w:id="591773">
                                  <w:marLeft w:val="0"/>
                                  <w:marRight w:val="0"/>
                                  <w:marTop w:val="0"/>
                                  <w:marBottom w:val="0"/>
                                  <w:divBdr>
                                    <w:top w:val="none" w:sz="0" w:space="0" w:color="auto"/>
                                    <w:left w:val="none" w:sz="0" w:space="0" w:color="auto"/>
                                    <w:bottom w:val="none" w:sz="0" w:space="0" w:color="auto"/>
                                    <w:right w:val="none" w:sz="0" w:space="0" w:color="auto"/>
                                  </w:divBdr>
                                  <w:divsChild>
                                    <w:div w:id="741945864">
                                      <w:marLeft w:val="0"/>
                                      <w:marRight w:val="0"/>
                                      <w:marTop w:val="0"/>
                                      <w:marBottom w:val="0"/>
                                      <w:divBdr>
                                        <w:top w:val="none" w:sz="0" w:space="0" w:color="auto"/>
                                        <w:left w:val="none" w:sz="0" w:space="0" w:color="auto"/>
                                        <w:bottom w:val="none" w:sz="0" w:space="0" w:color="auto"/>
                                        <w:right w:val="none" w:sz="0" w:space="0" w:color="auto"/>
                                      </w:divBdr>
                                      <w:divsChild>
                                        <w:div w:id="144430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7409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ico.org.uk/for-organisations/guide-to-data-protection/principle-7-security/"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cc@humberside.pnn.police.uk"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humberside-pcc.gov.uk/Privacy-Notice.aspx" TargetMode="External"/><Relationship Id="rId19"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ico.org.uk/for-organisations/guide-to-data-protection/guide-to-the-general-data-protection-regulation-gdpr/personal-data-breach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668A08769A1A4E8A62F062030076B4" ma:contentTypeVersion="19" ma:contentTypeDescription="Create a new document." ma:contentTypeScope="" ma:versionID="b6287ba968a899c38d1dde11f6762b97">
  <xsd:schema xmlns:xsd="http://www.w3.org/2001/XMLSchema" xmlns:xs="http://www.w3.org/2001/XMLSchema" xmlns:p="http://schemas.microsoft.com/office/2006/metadata/properties" xmlns:ns2="9fb358e3-3c3f-4d8b-8092-b6d8ed54aa62" xmlns:ns3="1438db74-65f4-462f-b993-31e476fc4897" targetNamespace="http://schemas.microsoft.com/office/2006/metadata/properties" ma:root="true" ma:fieldsID="02e2dec09bb06fc21c55b29edb97de48" ns2:_="" ns3:_="">
    <xsd:import namespace="9fb358e3-3c3f-4d8b-8092-b6d8ed54aa62"/>
    <xsd:import namespace="1438db74-65f4-462f-b993-31e476fc489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LengthInSeconds" minOccurs="0"/>
                <xsd:element ref="ns2:_Flow_SignoffStatus" minOccurs="0"/>
                <xsd:element ref="ns2:DateforDeletion" minOccurs="0"/>
                <xsd:element ref="ns2:MediaServiceBillingMetadata" minOccurs="0"/>
                <xsd:element ref="ns2: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b358e3-3c3f-4d8b-8092-b6d8ed54aa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83d440b-09b6-435a-99fb-beadf4bbac91"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_x0024_Resources_x003a_core_x002c_Signoff_Status">
      <xsd:simpleType>
        <xsd:restriction base="dms:Text"/>
      </xsd:simpleType>
    </xsd:element>
    <xsd:element name="DateforDeletion" ma:index="24" nillable="true" ma:displayName="Date for Deletion " ma:description="Data Protection" ma:format="DateOnly" ma:internalName="DateforDeletion">
      <xsd:simpleType>
        <xsd:restriction base="dms:DateTime"/>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Details" ma:index="26" nillable="true" ma:displayName="Details" ma:format="Dropdown" ma:internalName="Detail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38db74-65f4-462f-b993-31e476fc489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06e35c5-7d7d-4efa-a2be-769e84ab744b}" ma:internalName="TaxCatchAll" ma:showField="CatchAllData" ma:web="1438db74-65f4-462f-b993-31e476fc489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ateforDeletion xmlns="9fb358e3-3c3f-4d8b-8092-b6d8ed54aa62" xsi:nil="true"/>
    <TaxCatchAll xmlns="1438db74-65f4-462f-b993-31e476fc4897" xsi:nil="true"/>
    <_Flow_SignoffStatus xmlns="9fb358e3-3c3f-4d8b-8092-b6d8ed54aa62" xsi:nil="true"/>
    <lcf76f155ced4ddcb4097134ff3c332f xmlns="9fb358e3-3c3f-4d8b-8092-b6d8ed54aa62">
      <Terms xmlns="http://schemas.microsoft.com/office/infopath/2007/PartnerControls"/>
    </lcf76f155ced4ddcb4097134ff3c332f>
    <Details xmlns="9fb358e3-3c3f-4d8b-8092-b6d8ed54aa62" xsi:nil="true"/>
  </documentManagement>
</p:properties>
</file>

<file path=customXml/itemProps1.xml><?xml version="1.0" encoding="utf-8"?>
<ds:datastoreItem xmlns:ds="http://schemas.openxmlformats.org/officeDocument/2006/customXml" ds:itemID="{FF9203EE-B6D3-48FF-B126-561447C03B1D}">
  <ds:schemaRefs>
    <ds:schemaRef ds:uri="http://schemas.microsoft.com/sharepoint/v3/contenttype/forms"/>
  </ds:schemaRefs>
</ds:datastoreItem>
</file>

<file path=customXml/itemProps2.xml><?xml version="1.0" encoding="utf-8"?>
<ds:datastoreItem xmlns:ds="http://schemas.openxmlformats.org/officeDocument/2006/customXml" ds:itemID="{057FD76A-3677-4AE5-A78F-1A7C09D620CC}"/>
</file>

<file path=customXml/itemProps3.xml><?xml version="1.0" encoding="utf-8"?>
<ds:datastoreItem xmlns:ds="http://schemas.openxmlformats.org/officeDocument/2006/customXml" ds:itemID="{685AE828-F9AD-4523-8E39-5C78D6B7595D}">
  <ds:schemaRefs>
    <ds:schemaRef ds:uri="http://schemas.openxmlformats.org/officeDocument/2006/bibliography"/>
  </ds:schemaRefs>
</ds:datastoreItem>
</file>

<file path=customXml/itemProps4.xml><?xml version="1.0" encoding="utf-8"?>
<ds:datastoreItem xmlns:ds="http://schemas.openxmlformats.org/officeDocument/2006/customXml" ds:itemID="{83DB7170-B188-4AD4-8DF6-0899D5366383}"/>
</file>

<file path=docProps/app.xml><?xml version="1.0" encoding="utf-8"?>
<Properties xmlns="http://schemas.openxmlformats.org/officeDocument/2006/extended-properties" xmlns:vt="http://schemas.openxmlformats.org/officeDocument/2006/docPropsVTypes">
  <Template>Normal</Template>
  <TotalTime>23</TotalTime>
  <Pages>14</Pages>
  <Words>3787</Words>
  <Characters>21588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IS</Company>
  <LinksUpToDate>false</LinksUpToDate>
  <CharactersWithSpaces>25325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Cooper, Dawn</dc:creator>
  <cp:keywords/>
  <dc:description/>
  <cp:lastModifiedBy>Richmond, Michael 8726</cp:lastModifiedBy>
  <cp:revision>12</cp:revision>
  <dcterms:created xsi:type="dcterms:W3CDTF">2022-06-28T12:03:00Z</dcterms:created>
  <dcterms:modified xsi:type="dcterms:W3CDTF">2026-03-31T10:26:00Z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-1080319366</vt:i4>
  </property>
  <property fmtid="{D5CDD505-2E9C-101B-9397-08002B2CF9AE}" pid="3" name="_NewReviewCycle">
    <vt:lpwstr/>
  </property>
  <property fmtid="{D5CDD505-2E9C-101B-9397-08002B2CF9AE}" pid="4" name="_EmailSubject">
    <vt:lpwstr>Policy template &amp; Data Subject Access Policy</vt:lpwstr>
  </property>
  <property fmtid="{D5CDD505-2E9C-101B-9397-08002B2CF9AE}" pid="5" name="_AuthorEmail">
    <vt:lpwstr>Mia.Jones@humberside.pnn.police.uk</vt:lpwstr>
  </property>
  <property fmtid="{D5CDD505-2E9C-101B-9397-08002B2CF9AE}" pid="6" name="_AuthorEmailDisplayName">
    <vt:lpwstr>Jones, Mia</vt:lpwstr>
  </property>
  <property fmtid="{D5CDD505-2E9C-101B-9397-08002B2CF9AE}" pid="7" name="_PreviousAdHocReviewCycleID">
    <vt:i4>571011845</vt:i4>
  </property>
  <property fmtid="{D5CDD505-2E9C-101B-9397-08002B2CF9AE}" pid="8" name="_ReviewingToolsShownOnce">
    <vt:lpwstr/>
  </property>
  <property fmtid="{D5CDD505-2E9C-101B-9397-08002B2CF9AE}" pid="9" name="MSIP_Label_f529d828-a824-4b78-ab24-eaae5922aa38_Enabled">
    <vt:lpwstr>true</vt:lpwstr>
  </property>
  <property fmtid="{D5CDD505-2E9C-101B-9397-08002B2CF9AE}" pid="10" name="MSIP_Label_f529d828-a824-4b78-ab24-eaae5922aa38_SetDate">
    <vt:lpwstr>2022-09-16T07:55:56Z</vt:lpwstr>
  </property>
  <property fmtid="{D5CDD505-2E9C-101B-9397-08002B2CF9AE}" pid="11" name="MSIP_Label_f529d828-a824-4b78-ab24-eaae5922aa38_Method">
    <vt:lpwstr>Standard</vt:lpwstr>
  </property>
  <property fmtid="{D5CDD505-2E9C-101B-9397-08002B2CF9AE}" pid="12" name="MSIP_Label_f529d828-a824-4b78-ab24-eaae5922aa38_Name">
    <vt:lpwstr>OFFICIAL</vt:lpwstr>
  </property>
  <property fmtid="{D5CDD505-2E9C-101B-9397-08002B2CF9AE}" pid="13" name="MSIP_Label_f529d828-a824-4b78-ab24-eaae5922aa38_SiteId">
    <vt:lpwstr>b23255a1-8f78-4144-8904-31f019036ade</vt:lpwstr>
  </property>
  <property fmtid="{D5CDD505-2E9C-101B-9397-08002B2CF9AE}" pid="14" name="MSIP_Label_f529d828-a824-4b78-ab24-eaae5922aa38_ContentBits">
    <vt:lpwstr>0</vt:lpwstr>
  </property>
  <property fmtid="{D5CDD505-2E9C-101B-9397-08002B2CF9AE}" pid="15" name="ContentTypeId">
    <vt:lpwstr>0x01010029668A08769A1A4E8A62F062030076B4</vt:lpwstr>
  </property>
</Properties>
</file>